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60"/>
        <w:spacing w:after="0"/>
        <w:rPr>
          <w:sz w:val="20"/>
          <w:szCs w:val="20"/>
          <w:color w:val="auto"/>
        </w:rPr>
      </w:pPr>
      <w:r>
        <w:rPr>
          <w:rFonts w:ascii="Times New Roman" w:cs="Times New Roman" w:eastAsia="Times New Roman" w:hAnsi="Times New Roman"/>
          <w:sz w:val="17"/>
          <w:szCs w:val="17"/>
          <w:b w:val="1"/>
          <w:bCs w:val="1"/>
          <w:color w:val="auto"/>
        </w:rPr>
        <w:t>FORM 6 - K</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0" w:lineRule="exact"/>
        <w:rPr>
          <w:sz w:val="24"/>
          <w:szCs w:val="24"/>
          <w:color w:val="auto"/>
        </w:rPr>
      </w:pPr>
    </w:p>
    <w:p>
      <w:pPr>
        <w:spacing w:after="0" w:line="2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Pursuant to Rule 13a - 16 or 15d - 16 of</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 of March 3, 2026</w:t>
      </w:r>
    </w:p>
    <w:p>
      <w:pPr>
        <w:spacing w:after="0" w:line="2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TENARIS, S.A.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26, Boulevard Royal, 4th floor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L-2449 Luxembourg</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0" w:lineRule="exact"/>
        <w:rPr>
          <w:sz w:val="24"/>
          <w:szCs w:val="24"/>
          <w:color w:val="auto"/>
        </w:rPr>
      </w:pPr>
    </w:p>
    <w:p>
      <w:pPr>
        <w:spacing w:after="0" w:line="206" w:lineRule="exact"/>
        <w:rPr>
          <w:sz w:val="24"/>
          <w:szCs w:val="24"/>
          <w:color w:val="auto"/>
        </w:rPr>
      </w:pPr>
    </w:p>
    <w:p>
      <w:pPr>
        <w:jc w:val="right"/>
        <w:ind w:right="59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40-F.</w:t>
      </w:r>
    </w:p>
    <w:p>
      <w:pPr>
        <w:spacing w:after="0" w:line="21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7"/>
          <w:szCs w:val="17"/>
          <w:color w:val="auto"/>
        </w:rPr>
        <w:t>Form 20-F _</w:t>
      </w:r>
      <w:r>
        <w:rPr>
          <w:rFonts w:ascii="Times New Roman" w:cs="Times New Roman" w:eastAsia="Times New Roman" w:hAnsi="Times New Roman"/>
          <w:sz w:val="17"/>
          <w:szCs w:val="17"/>
          <w:u w:val="single" w:color="auto"/>
          <w:color w:val="auto"/>
        </w:rPr>
        <w:t>Ö</w:t>
      </w:r>
      <w:r>
        <w:rPr>
          <w:rFonts w:ascii="Times New Roman" w:cs="Times New Roman" w:eastAsia="Times New Roman" w:hAnsi="Times New Roman"/>
          <w:sz w:val="17"/>
          <w:szCs w:val="17"/>
          <w:color w:val="auto"/>
        </w:rPr>
        <w:t>_ Form 40-F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713867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40640"/>
                    </a:xfrm>
                    <a:prstGeom prst="rect">
                      <a:avLst/>
                    </a:prstGeom>
                    <a:noFill/>
                  </pic:spPr>
                </pic:pic>
              </a:graphicData>
            </a:graphic>
          </wp:anchor>
        </w:drawing>
      </w:r>
    </w:p>
    <w:p>
      <w:pPr>
        <w:sectPr>
          <w:pgSz w:w="11900" w:h="16838" w:orient="portrait"/>
          <w:cols w:equalWidth="0" w:num="1">
            <w:col w:w="10139"/>
          </w:cols>
          <w:pgMar w:left="320" w:top="222" w:right="1440" w:bottom="1440" w:gutter="0" w:footer="0" w:header="0"/>
        </w:sectPr>
      </w:pPr>
    </w:p>
    <w:bookmarkStart w:id="1" w:name="page2"/>
    <w:bookmarkEnd w:id="1"/>
    <w:p>
      <w:pPr>
        <w:jc w:val="both"/>
        <w:spacing w:after="0" w:line="269" w:lineRule="auto"/>
        <w:rPr>
          <w:sz w:val="20"/>
          <w:szCs w:val="20"/>
          <w:color w:val="auto"/>
        </w:rPr>
      </w:pPr>
      <w:r>
        <w:rPr>
          <w:rFonts w:ascii="Times New Roman" w:cs="Times New Roman" w:eastAsia="Times New Roman" w:hAnsi="Times New Roman"/>
          <w:sz w:val="17"/>
          <w:szCs w:val="17"/>
          <w:color w:val="auto"/>
        </w:rPr>
        <w:t>The attached material is being furnished to the Securities and Exchange Commission pursuant to Rule 13a-16 and Form 6-K under the Securities Exchange Act of 1934, as amended. This report contains Tenaris’s Weekly Report (February 23 2026 – February 27, 2026) on the Second Tranche of Tenaris Share Buyback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 2026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Tenaris,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Giovanni Sardagna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Giovanni Sardagna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 Relations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349885</wp:posOffset>
            </wp:positionV>
            <wp:extent cx="713867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40640"/>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367030</wp:posOffset>
            </wp:positionV>
            <wp:extent cx="1913255" cy="539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13255" cy="539750"/>
                    </a:xfrm>
                    <a:prstGeom prst="rect">
                      <a:avLst/>
                    </a:prstGeom>
                    <a:noFill/>
                  </pic:spPr>
                </pic:pic>
              </a:graphicData>
            </a:graphic>
          </wp:anchor>
        </w:drawing>
        <w:drawing>
          <wp:anchor simplePos="0" relativeHeight="251657728" behindDoc="1" locked="0" layoutInCell="0" allowOverlap="1">
            <wp:simplePos x="0" y="0"/>
            <wp:positionH relativeFrom="page">
              <wp:posOffset>5422265</wp:posOffset>
            </wp:positionH>
            <wp:positionV relativeFrom="page">
              <wp:posOffset>367030</wp:posOffset>
            </wp:positionV>
            <wp:extent cx="1897380" cy="539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97380" cy="5397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C0C0C0"/>
        </w:rPr>
        <w:t>Giovanni Sardagna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C0C0C0"/>
        </w:rPr>
        <w:t>Tenaris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C0C0C0"/>
        </w:rPr>
        <w:t>1-888-300-5432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C0C0C0"/>
        </w:rPr>
        <w:t>www.tenaris.com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009900"/>
        </w:rPr>
        <w:t>Weekly Report (February 23, 2026 – February 27, 2026) on the Second Tranche of Tenaris Share Buyback Program.</w:t>
      </w:r>
    </w:p>
    <w:p>
      <w:pPr>
        <w:spacing w:after="0" w:line="2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Luxembourg, March 3, 2026. - </w:t>
      </w:r>
      <w:r>
        <w:rPr>
          <w:rFonts w:ascii="Times New Roman" w:cs="Times New Roman" w:eastAsia="Times New Roman" w:hAnsi="Times New Roman"/>
          <w:sz w:val="17"/>
          <w:szCs w:val="17"/>
          <w:color w:val="auto"/>
        </w:rPr>
        <w:t>Tenaris S.A. (NYSE and Mexico: TS and EXM Italy: TEN) (“Tenaris”) announced today that pursuant to its Second Tranche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USD1.2 billion Share Buyback Program announced on November 2, 2025, covering up to USD600 million to be executed in the open market, it has repurchased the following ordinary shares from February 23, 2026 to (and including) 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198995" cy="1005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8995" cy="100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From February 23, 2026 to (and including) February 27, 2026, the Company has purchased a total of 2,573 ordinary shares for a total consideration of €57,617 equivalent to USD67,913.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 2026, the Company held in treasury 62,355,174 ordinary shares equal to 5.82% of the total issued share capital.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Tenaris intends to cancel treasury shares purchased under the Programs in due course.</w:t>
      </w:r>
    </w:p>
    <w:p>
      <w:pPr>
        <w:spacing w:after="0" w:line="2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7"/>
          <w:szCs w:val="17"/>
          <w:color w:val="auto"/>
        </w:rPr>
        <w:t>Details of the above transactions, are available on Tenaris’s corporate website under the Share Buyback Program Section https://ir.tenaris.com/share-buyback-program.</w:t>
      </w:r>
    </w:p>
    <w:p>
      <w:pPr>
        <w:spacing w:after="0" w:line="3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Some of the statements contained in this press release are “forward-looking statements”. Forward-looking statements are based on management’s current views and assumptions and involve known and unknown risks that could cause actual results, performance or events to differ materially from those expressed or implied by those statements. These risks include but are not limited to risks arising from uncertainties as to future oil and gas prices and their impact on investment programs by oil and gas companies.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Tenaris is a leading global supplier of steel tubes and related services for the world’s energy industry and certain other industrial applications.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2026-03-04T05:03:55Z</dcterms:created>
  <dcterms:modified xsi:type="dcterms:W3CDTF">2026-03-04T05:03:55Z</dcterms:modified>
</cp:coreProperties>
</file>