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12,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238"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color w:val="auto"/>
        </w:rPr>
        <w:t xml:space="preserve">Form 20-F </w:t>
      </w:r>
      <w:r>
        <w:rPr>
          <w:rFonts w:ascii="Arial" w:cs="Arial" w:eastAsia="Arial" w:hAnsi="Arial"/>
          <w:sz w:val="18"/>
          <w:szCs w:val="18"/>
          <w:b w:val="1"/>
          <w:bCs w:val="1"/>
          <w:u w:val="single" w:color="auto"/>
          <w:color w:val="auto"/>
        </w:rPr>
        <w:t>Ö</w:t>
      </w:r>
      <w:r>
        <w:rPr>
          <w:rFonts w:ascii="Times New Roman" w:cs="Times New Roman" w:eastAsia="Times New Roman" w:hAnsi="Times New Roman"/>
          <w:sz w:val="18"/>
          <w:szCs w:val="18"/>
          <w:color w:val="auto"/>
        </w:rPr>
        <w:t xml:space="preserve"> 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the Summary of the resolutions adopted in the Extraordinary General Meeting of Shareholders (the</w:t>
      </w:r>
    </w:p>
    <w:p>
      <w:pPr>
        <w:ind w:right="20"/>
        <w:spacing w:after="0" w:line="209" w:lineRule="auto"/>
        <w:rPr>
          <w:sz w:val="20"/>
          <w:szCs w:val="20"/>
          <w:color w:val="auto"/>
        </w:rPr>
      </w:pPr>
      <w:r>
        <w:rPr>
          <w:rFonts w:ascii="Times New Roman" w:cs="Times New Roman" w:eastAsia="Times New Roman" w:hAnsi="Times New Roman"/>
          <w:sz w:val="18"/>
          <w:szCs w:val="18"/>
          <w:color w:val="auto"/>
        </w:rPr>
        <w:t>“Meeting”) of Tenaris S.A. (the "Company") held on May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 at 26, Boulevard Royal,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L-2449, Luxembourg, immediately after the adjournment of the Annual General Meeting of Shareholders of the Company</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May 12, 2026</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both"/>
        <w:spacing w:after="0" w:line="228" w:lineRule="auto"/>
        <w:rPr>
          <w:sz w:val="20"/>
          <w:szCs w:val="20"/>
          <w:color w:val="auto"/>
        </w:rPr>
      </w:pPr>
      <w:r>
        <w:rPr>
          <w:rFonts w:ascii="Times New Roman" w:cs="Times New Roman" w:eastAsia="Times New Roman" w:hAnsi="Times New Roman"/>
          <w:sz w:val="18"/>
          <w:szCs w:val="18"/>
          <w:b w:val="1"/>
          <w:bCs w:val="1"/>
          <w:color w:val="008000"/>
        </w:rPr>
        <w:drawing>
          <wp:anchor simplePos="0" relativeHeight="251657728" behindDoc="1" locked="0" layoutInCell="0" allowOverlap="1">
            <wp:simplePos x="0" y="0"/>
            <wp:positionH relativeFrom="page">
              <wp:posOffset>233680</wp:posOffset>
            </wp:positionH>
            <wp:positionV relativeFrom="page">
              <wp:posOffset>517525</wp:posOffset>
            </wp:positionV>
            <wp:extent cx="840105"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840105" cy="222885"/>
                    </a:xfrm>
                    <a:prstGeom prst="rect">
                      <a:avLst/>
                    </a:prstGeom>
                    <a:noFill/>
                  </pic:spPr>
                </pic:pic>
              </a:graphicData>
            </a:graphic>
          </wp:anchor>
        </w:drawing>
        <w:t>Summary of the resolutions adopted in the Extraordinary General Meeting of Shareholders (the “</w:t>
      </w:r>
      <w:r>
        <w:rPr>
          <w:rFonts w:ascii="Times New Roman" w:cs="Times New Roman" w:eastAsia="Times New Roman" w:hAnsi="Times New Roman"/>
          <w:sz w:val="18"/>
          <w:szCs w:val="18"/>
          <w:b w:val="1"/>
          <w:bCs w:val="1"/>
          <w:u w:val="single" w:color="auto"/>
          <w:color w:val="008000"/>
        </w:rPr>
        <w:t>Meeting</w:t>
      </w:r>
      <w:r>
        <w:rPr>
          <w:rFonts w:ascii="Times New Roman" w:cs="Times New Roman" w:eastAsia="Times New Roman" w:hAnsi="Times New Roman"/>
          <w:sz w:val="18"/>
          <w:szCs w:val="18"/>
          <w:b w:val="1"/>
          <w:bCs w:val="1"/>
          <w:color w:val="008000"/>
        </w:rPr>
        <w:t>”) of Tenaris S.A. (the "</w:t>
      </w:r>
      <w:r>
        <w:rPr>
          <w:rFonts w:ascii="Times New Roman" w:cs="Times New Roman" w:eastAsia="Times New Roman" w:hAnsi="Times New Roman"/>
          <w:sz w:val="18"/>
          <w:szCs w:val="18"/>
          <w:b w:val="1"/>
          <w:bCs w:val="1"/>
          <w:u w:val="single" w:color="auto"/>
          <w:color w:val="008000"/>
        </w:rPr>
        <w:t>Company</w:t>
      </w:r>
      <w:r>
        <w:rPr>
          <w:rFonts w:ascii="Times New Roman" w:cs="Times New Roman" w:eastAsia="Times New Roman" w:hAnsi="Times New Roman"/>
          <w:sz w:val="18"/>
          <w:szCs w:val="18"/>
          <w:b w:val="1"/>
          <w:bCs w:val="1"/>
          <w:color w:val="008000"/>
        </w:rPr>
        <w:t>") held on 12</w:t>
      </w:r>
      <w:r>
        <w:rPr>
          <w:rFonts w:ascii="Times New Roman" w:cs="Times New Roman" w:eastAsia="Times New Roman" w:hAnsi="Times New Roman"/>
          <w:sz w:val="29"/>
          <w:szCs w:val="29"/>
          <w:b w:val="1"/>
          <w:bCs w:val="1"/>
          <w:color w:val="008000"/>
          <w:vertAlign w:val="superscript"/>
        </w:rPr>
        <w:t>th</w:t>
      </w:r>
      <w:r>
        <w:rPr>
          <w:rFonts w:ascii="Times New Roman" w:cs="Times New Roman" w:eastAsia="Times New Roman" w:hAnsi="Times New Roman"/>
          <w:sz w:val="18"/>
          <w:szCs w:val="18"/>
          <w:b w:val="1"/>
          <w:bCs w:val="1"/>
          <w:color w:val="008000"/>
        </w:rPr>
        <w:t xml:space="preserve"> May 2026, at 26, Boulevard Royal, 4</w:t>
      </w:r>
      <w:r>
        <w:rPr>
          <w:rFonts w:ascii="Times New Roman" w:cs="Times New Roman" w:eastAsia="Times New Roman" w:hAnsi="Times New Roman"/>
          <w:sz w:val="29"/>
          <w:szCs w:val="29"/>
          <w:b w:val="1"/>
          <w:bCs w:val="1"/>
          <w:color w:val="008000"/>
          <w:vertAlign w:val="superscript"/>
        </w:rPr>
        <w:t>th</w:t>
      </w:r>
      <w:r>
        <w:rPr>
          <w:rFonts w:ascii="Times New Roman" w:cs="Times New Roman" w:eastAsia="Times New Roman" w:hAnsi="Times New Roman"/>
          <w:sz w:val="18"/>
          <w:szCs w:val="18"/>
          <w:b w:val="1"/>
          <w:bCs w:val="1"/>
          <w:color w:val="008000"/>
        </w:rPr>
        <w:t xml:space="preserve"> Floor, L-2449, Luxembourg, immediately after the adjournment of the Annual General Meeting of Shareholders of the Company.</w:t>
      </w:r>
    </w:p>
    <w:p>
      <w:pPr>
        <w:spacing w:after="0" w:line="194" w:lineRule="exact"/>
        <w:rPr>
          <w:sz w:val="20"/>
          <w:szCs w:val="20"/>
          <w:color w:val="auto"/>
        </w:rPr>
      </w:pPr>
    </w:p>
    <w:p>
      <w:pPr>
        <w:jc w:val="both"/>
        <w:ind w:firstLine="8"/>
        <w:spacing w:after="0" w:line="262" w:lineRule="auto"/>
        <w:tabs>
          <w:tab w:leader="none" w:pos="103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808080"/>
        </w:rPr>
        <w:t>Approval of (a) the cancellation of 62,355,174 ordinary shares held in treasury, acquired by the Company throughout the third share buyback program, which ran from 9th June 2025 to 3rd March 2026, and (b) the consequential reduction of the issued share capital of the Company by an amount of US$62,355,174 so as to bring it from its current amount of US$1,071,994,930 to US$1,009,639,756 represented by 1,009,639,756 ordinary shares with a nominal value of US$1.00 per share</w:t>
      </w:r>
      <w:r>
        <w:rPr>
          <w:rFonts w:ascii="Times New Roman" w:cs="Times New Roman" w:eastAsia="Times New Roman" w:hAnsi="Times New Roman"/>
          <w:sz w:val="18"/>
          <w:szCs w:val="18"/>
          <w:i w:val="1"/>
          <w:iCs w:val="1"/>
          <w:color w:val="000000"/>
        </w:rPr>
        <w: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Meeting resolved to approve (a) the cancellation of sixty-two million three hundred fifty-five thousand one hundred seventy-four (62,355,174) ordinary shares held in treasury, acquired by the Company throughout the third share buyback program, which ran from 9th June 2025 to 3rd March 2026, and (b) the consequential reduction of the issued share capital of the Company by an amount of sixty-two million three hundred fifty-five thousand one hundred seventy-four U.S. dollars (USD62,355,174), so as to bring it from its current amount of one billion seventy-one million nine hundred ninety-four thousand nine hundred thirty U.S. dollars (USD 1,071,994,930), to one billion nine million six hundred thirty-nine thousand seven hundred fifty-six U.S. dollars (USD1,009,639,756) represented by one billion nine million six hundred thirty-nine thousand seven hundred fifty-six (1,009,639,756) ordinary shares with a nominal value of one U.S. dollars (USD1.00) per share.</w:t>
      </w:r>
    </w:p>
    <w:p>
      <w:pPr>
        <w:spacing w:after="0" w:line="185"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808080"/>
        </w:rPr>
        <w:t>The amendment of article 5 “Share Capital” of the Company’s articles of association to reflect the resolutions on item 1 of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808080"/>
        </w:rPr>
        <w:t>agenda.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Meeting resolved to approve the amendment of article 5 “Share Capital” of the Company’s articles of association, which shall read as follows: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«Article 5. Share capital. The share capital of the Company is set at one billion nine million six hundred and thirty nine thousand seven hundred and fifty six US dollars (USD1,009,639,756), represented by one billion nine million six hundred and thirty nine thousand seven hundred and fifty six (1,009,639,756) shares with a par value of one US dollar (USD 1) per share.</w:t>
      </w:r>
    </w:p>
    <w:p>
      <w:pPr>
        <w:spacing w:after="0" w:line="17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authorized capital of the Company shall be two billion five hundred million US dollars (USD 2,500,000,000.-), including the issued share capital, represented by two billion five hundred million (2,500,000,000) shares with a par value of one US dollar (USD 1.) per share.</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board of directors, or any delegate(s) duly appointed by the board of directors, may from time to time, for a period starting on the date of the Extraordinary General Meeting of Shareholders held on 6th May 2025 and ending on the fifth anniversary of the date of the publication in the Recueil électronique des sociétés et associations (RESA) of the deed recording the minutes of such Extraordinary General Meeting of Shareholders, issue shares within the limits of the authorized share capital against contributions in cash, contributions in kind or by way of incorporation of available reserves at such times and on such terms and conditions, including the issue price, as the board of directors, or its delegate(s), may in its or their discretion resolve.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Extraordinary General Meeting of Shareholders held on 6th May 2025 has authorized the board of directors, for a period starting on the date of such Extraordinary General Meeting of Shareholders and ending on the fifth anniversary of the date of the publication in the RESA of the deed recording the minutes of such Extraordinary General Meeting of Shareholders, to waive, suppress or limit any pre-emptive subscription rights of shareholders provided for by law to the extent it deems such waiver, suppression or limitation advisable for any issue or issues of shares within the authorized share capital, and has waived any pre-emptive subscription rights provided for by law and related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17145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 cy="163195"/>
                    </a:xfrm>
                    <a:prstGeom prst="rect">
                      <a:avLst/>
                    </a:prstGeom>
                    <a:noFill/>
                  </pic:spPr>
                </pic:pic>
              </a:graphicData>
            </a:graphic>
          </wp:anchor>
        </w:drawing>
        <w:t>Notwithstanding the waiver of any preemptive subscription rights provided for by law and related procedures, by provision of the present Articles of Association, any issuance of shares for cash within the limits of the authorized share capital shall be subject to the pre-emptive subscription rights of the then existing shareholders, except in the following cases (in which cases no pre-emptive subscription rights shall apply):</w:t>
      </w:r>
    </w:p>
    <w:p>
      <w:pPr>
        <w:spacing w:after="0" w:line="173" w:lineRule="exact"/>
        <w:rPr>
          <w:sz w:val="20"/>
          <w:szCs w:val="20"/>
          <w:color w:val="auto"/>
        </w:rPr>
      </w:pPr>
    </w:p>
    <w:p>
      <w:pPr>
        <w:ind w:firstLine="8"/>
        <w:spacing w:after="0" w:line="284" w:lineRule="auto"/>
        <w:tabs>
          <w:tab w:leader="none" w:pos="517"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issuance of shares (including, without limitation, the direct issuance of shares or upon the exercise of options, rights convertible into shares, or similar instruments convertible or exchangeable into shares) against a contribution other than in cash; and</w:t>
      </w:r>
    </w:p>
    <w:p>
      <w:pPr>
        <w:spacing w:after="0" w:line="158" w:lineRule="exact"/>
        <w:rPr>
          <w:rFonts w:ascii="Times New Roman" w:cs="Times New Roman" w:eastAsia="Times New Roman" w:hAnsi="Times New Roman"/>
          <w:sz w:val="18"/>
          <w:szCs w:val="18"/>
          <w:i w:val="1"/>
          <w:iCs w:val="1"/>
          <w:color w:val="auto"/>
        </w:rPr>
      </w:pPr>
    </w:p>
    <w:p>
      <w:pPr>
        <w:jc w:val="both"/>
        <w:ind w:firstLine="8"/>
        <w:spacing w:after="0" w:line="258" w:lineRule="auto"/>
        <w:tabs>
          <w:tab w:leader="none" w:pos="621"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any issuance of shares (including by way of free shares or at discount), up to an amount of 1.5% of the issued share capital of the Company, to directors, officers, agents, employees of the Company, its direct or indirect subsidiaries, or its affiliates (collectively, the “Beneficiaries”), including, without limitation, the direct issuance of shares or upon the exercise of options, rights convertible into shares, or similar instruments convertible or exchangeable into shares, issued for the purpose of compensation or incentive of the Beneficiaries or in relation thereto (which the board of directors shall be authorized to issue upon such terms and conditions as it deems fit).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Any issuance of shares within the authorized share capital must be recorded by notarial deed and this Article 5 must be amended accordingly.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Each share entitles the holder thereof to cast one vote at any shareholders’ meeting, subject to applicable law.</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board of directors may authorize the issuance of bonds which may be but are not required to be, convertible into registered shares, in such denominations and payable in such monies as it shall determine in its discretion. The board of directors shall determine the type, price, interest rates, terms of issuance and repayment and any other conditions for such issues. A register of registered bonds shall be held by the Company.”</w:t>
      </w:r>
    </w:p>
    <w:sectPr>
      <w:pgSz w:w="11900" w:h="16838" w:orient="portrait"/>
      <w:cols w:equalWidth="0" w:num="1">
        <w:col w:w="11240"/>
      </w:cols>
      <w:pgMar w:left="320" w:top="1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2026-05-13T09:22:20Z</dcterms:created>
  <dcterms:modified xsi:type="dcterms:W3CDTF">2026-05-13T09:22:20Z</dcterms:modified>
</cp:coreProperties>
</file>