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bookmarkStart w:id="0" w:name="f6k_033026.htm"/>
      <w:bookmarkStart w:id="1" w:name="ksf6k_033026"/>
      <w:bookmarkEnd w:id="0"/>
      <w:bookmarkEnd w:id="1"/>
      <w:r>
        <w:rPr/>
        <w:t> </w:t>
      </w:r>
    </w:p>
    <w:p>
      <w:pPr>
        <w:pStyle w:val="TextBody"/>
        <w:bidi w:val="0"/>
        <w:spacing w:before="0" w:after="0"/>
        <w:ind w:left="0" w:right="0" w:hanging="0"/>
        <w:jc w:val="center"/>
        <w:rPr>
          <w:b/>
          <w:sz w:val="20"/>
        </w:rPr>
      </w:pPr>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March 30,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20-F </w:t>
      </w:r>
      <w:r>
        <w:rPr>
          <w:sz w:val="20"/>
          <w:u w:val="single"/>
        </w:rPr>
        <w:t>&amp;check;</w:t>
      </w:r>
      <w:r>
        <w:rPr>
          <w:sz w:val="20"/>
        </w:rPr>
        <w:t xml:space="preserve"> Form 40-F ___</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attached material is being furnished to the Securities and Exchange Commission pursuant to Rule 13a-16 and Form 6-K under the Securities Exchange Act of 1934, as amended. This report contains Tenaris’s Press Release announcing Tenaris Files its 2025 Annual Report and its Annual Report on Form 20-F.</w:t>
      </w:r>
    </w:p>
    <w:p>
      <w:pPr>
        <w:pStyle w:val="TextBody"/>
        <w:bidi w:val="0"/>
        <w:spacing w:before="0" w:after="0"/>
        <w:ind w:left="0" w:right="0" w:hanging="0"/>
        <w:jc w:val="both"/>
        <w:rPr/>
      </w:pPr>
      <w:r>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March 30,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445" w:type="dxa"/>
        <w:jc w:val="left"/>
        <w:tblInd w:w="0" w:type="dxa"/>
        <w:tblLayout w:type="fixed"/>
        <w:tblCellMar>
          <w:top w:w="0" w:type="dxa"/>
          <w:left w:w="0" w:type="dxa"/>
          <w:bottom w:w="0" w:type="dxa"/>
          <w:right w:w="0" w:type="dxa"/>
        </w:tblCellMar>
      </w:tblPr>
      <w:tblGrid>
        <w:gridCol w:w="2715"/>
        <w:gridCol w:w="2730"/>
      </w:tblGrid>
      <w:tr>
        <w:trPr/>
        <w:tc>
          <w:tcPr>
            <w:tcW w:w="2715" w:type="dxa"/>
            <w:tcBorders/>
            <w:vAlign w:val="center"/>
          </w:tcPr>
          <w:p>
            <w:pPr>
              <w:pStyle w:val="TableContents"/>
              <w:bidi w:val="0"/>
              <w:spacing w:before="0" w:after="283"/>
              <w:jc w:val="left"/>
              <w:rPr/>
            </w:pPr>
            <w:r>
              <w:rPr/>
              <w:drawing>
                <wp:inline distT="0" distB="0" distL="0" distR="0">
                  <wp:extent cx="17145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504825"/>
                          </a:xfrm>
                          <a:prstGeom prst="rect">
                            <a:avLst/>
                          </a:prstGeom>
                        </pic:spPr>
                      </pic:pic>
                    </a:graphicData>
                  </a:graphic>
                </wp:inline>
              </w:drawing>
            </w:r>
          </w:p>
        </w:tc>
        <w:tc>
          <w:tcPr>
            <w:tcW w:w="2730" w:type="dxa"/>
            <w:tcBorders/>
            <w:vAlign w:val="center"/>
          </w:tcPr>
          <w:p>
            <w:pPr>
              <w:pStyle w:val="TableContents"/>
              <w:bidi w:val="0"/>
              <w:spacing w:before="0" w:after="283"/>
              <w:jc w:val="right"/>
              <w:rPr/>
            </w:pPr>
            <w:r>
              <w:rPr/>
              <w:drawing>
                <wp:inline distT="0" distB="0" distL="0" distR="0">
                  <wp:extent cx="172402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24025" cy="504825"/>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olor w:val="C0C0C0"/>
          <w:sz w:val="20"/>
        </w:rPr>
      </w:pPr>
      <w:r>
        <w:rPr>
          <w:color w:val="C0C0C0"/>
          <w:sz w:val="20"/>
        </w:rPr>
        <w:t>Giovanni Sardagna</w:t>
        <w:tab/>
      </w:r>
    </w:p>
    <w:p>
      <w:pPr>
        <w:pStyle w:val="TextBody"/>
        <w:bidi w:val="0"/>
        <w:spacing w:before="0" w:after="0"/>
        <w:ind w:left="0" w:right="0" w:hanging="0"/>
        <w:jc w:val="left"/>
        <w:rPr>
          <w:color w:val="C0C0C0"/>
          <w:sz w:val="20"/>
        </w:rPr>
      </w:pPr>
      <w:r>
        <w:rPr>
          <w:color w:val="C0C0C0"/>
          <w:sz w:val="20"/>
        </w:rPr>
        <w:t>Tenaris</w:t>
      </w:r>
    </w:p>
    <w:p>
      <w:pPr>
        <w:pStyle w:val="TextBody"/>
        <w:bidi w:val="0"/>
        <w:spacing w:before="0" w:after="0"/>
        <w:ind w:left="0" w:right="0" w:hanging="0"/>
        <w:jc w:val="left"/>
        <w:rPr>
          <w:color w:val="C0C0C0"/>
          <w:sz w:val="20"/>
        </w:rPr>
      </w:pPr>
      <w:r>
        <w:rPr>
          <w:color w:val="C0C0C0"/>
          <w:sz w:val="20"/>
        </w:rPr>
        <w:t>1-888-300-5432</w:t>
      </w:r>
    </w:p>
    <w:p>
      <w:pPr>
        <w:pStyle w:val="TextBody"/>
        <w:bidi w:val="0"/>
        <w:spacing w:before="0" w:after="0"/>
        <w:ind w:left="0" w:right="0" w:hanging="0"/>
        <w:jc w:val="left"/>
        <w:rPr>
          <w:color w:val="C0C0C0"/>
          <w:sz w:val="20"/>
        </w:rPr>
      </w:pPr>
      <w:r>
        <w:rPr>
          <w:color w:val="C0C0C0"/>
          <w:sz w:val="20"/>
        </w:rPr>
        <w:t>www.tenaris.com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olor w:val="009900"/>
          <w:sz w:val="28"/>
        </w:rPr>
      </w:pPr>
      <w:r>
        <w:rPr>
          <w:color w:val="009900"/>
          <w:sz w:val="28"/>
        </w:rPr>
        <w:t>Tenaris Files its 2025 Annual Report and its Annual Report on Form 20-F.</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Luxembourg, March 30, 2026</w:t>
      </w:r>
      <w:r>
        <w:rPr>
          <w:sz w:val="20"/>
        </w:rPr>
        <w:t xml:space="preserve"> – Tenaris S.A. (NYSE and Mexico: TS and EXM Italy: TEN) filed today its 2025 Annual Report with the Luxembourg Stock Exchange, with the U.S. Securities and Exchange Commission (SEC) and with the other securities regulators of the markets where its securities are listed.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2025 Annual Report, which may be downloaded from the Luxembourg Stock Exchange’s website at www.bourse.lu/regulated-information-oam and is also available on Tenaris’s website at ir.tenaris.com, includes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 consolidated management report containing the financial and non-financial information (or sustainability statement) required by applicable law;</w:t>
            </w:r>
          </w:p>
        </w:tc>
      </w:tr>
    </w:tbl>
    <w:tbl>
      <w:tblPr>
        <w:tblW w:w="8388" w:type="dxa"/>
        <w:jc w:val="left"/>
        <w:tblInd w:w="0" w:type="dxa"/>
        <w:tblLayout w:type="fixed"/>
        <w:tblCellMar>
          <w:top w:w="0" w:type="dxa"/>
          <w:left w:w="0" w:type="dxa"/>
          <w:bottom w:w="0" w:type="dxa"/>
          <w:right w:w="0" w:type="dxa"/>
        </w:tblCellMar>
      </w:tblPr>
      <w:tblGrid>
        <w:gridCol w:w="38"/>
        <w:gridCol w:w="125"/>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225" w:type="dxa"/>
            <w:tcBorders/>
            <w:vAlign w:val="center"/>
          </w:tcPr>
          <w:p>
            <w:pPr>
              <w:pStyle w:val="TableContents"/>
              <w:bidi w:val="0"/>
              <w:spacing w:before="0" w:after="283"/>
              <w:jc w:val="both"/>
              <w:rPr/>
            </w:pPr>
            <w:r>
              <w:rPr/>
              <w:t>the consolidated financial statements as of and for the year ended 31</w:t>
            </w:r>
            <w:r>
              <w:rPr>
                <w:position w:val="8"/>
                <w:sz w:val="19"/>
              </w:rPr>
              <w:t>st</w:t>
            </w:r>
            <w:r>
              <w:rPr/>
              <w:t xml:space="preserve"> December 2025;</w:t>
            </w:r>
          </w:p>
        </w:tc>
      </w:tr>
    </w:tbl>
    <w:tbl>
      <w:tblPr>
        <w:tblW w:w="5013" w:type="dxa"/>
        <w:jc w:val="left"/>
        <w:tblInd w:w="0" w:type="dxa"/>
        <w:tblLayout w:type="fixed"/>
        <w:tblCellMar>
          <w:top w:w="0" w:type="dxa"/>
          <w:left w:w="0" w:type="dxa"/>
          <w:bottom w:w="0" w:type="dxa"/>
          <w:right w:w="0" w:type="dxa"/>
        </w:tblCellMar>
      </w:tblPr>
      <w:tblGrid>
        <w:gridCol w:w="38"/>
        <w:gridCol w:w="125"/>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850" w:type="dxa"/>
            <w:tcBorders/>
            <w:vAlign w:val="center"/>
          </w:tcPr>
          <w:p>
            <w:pPr>
              <w:pStyle w:val="TableContents"/>
              <w:bidi w:val="0"/>
              <w:spacing w:before="0" w:after="283"/>
              <w:jc w:val="both"/>
              <w:rPr/>
            </w:pPr>
            <w:r>
              <w:rPr/>
              <w:t>the annual accounts as at 31</w:t>
            </w:r>
            <w:r>
              <w:rPr>
                <w:position w:val="8"/>
                <w:sz w:val="19"/>
              </w:rPr>
              <w:t>st</w:t>
            </w:r>
            <w:r>
              <w:rPr/>
              <w:t xml:space="preserve"> December 2025; and</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management certifications and external auditors’ reports on such consolidated financial statements, annual accounts and sustainability statement.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Tenaris will also file tomorrow, March 31, 2026, its annual report on Form 20-F for the year ended December 31, 2025, with the U.S. Securities and Exchange Commission (SEC). The 2025 annual report on Form 20-F will be available to be downloaded from the SEC’s website at www.sec.gov and from Tenaris’s website at ir.tenaris.com.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Holders of Tenaris’s shares and ADSs, and any other interested parties, may request a hard copy of any of these reports, free of charge, through our website at ir.tenaris.com/tools/printed-materials.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Tenaris is a leading global supplier of steel tubes and related services for the world’s energy industry and certain other industrial applications.</w:t>
      </w:r>
      <w:r>
        <w:rPr>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436</Words>
  <Characters>2432</Characters>
  <CharactersWithSpaces>2889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