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spacing w:after="0"/>
        <w:rPr>
          <w:sz w:val="20"/>
          <w:szCs w:val="20"/>
          <w:color w:val="auto"/>
        </w:rPr>
      </w:pPr>
      <w:r>
        <w:rPr>
          <w:rFonts w:ascii="Times New Roman" w:cs="Times New Roman" w:eastAsia="Times New Roman" w:hAnsi="Times New Roman"/>
          <w:sz w:val="17"/>
          <w:szCs w:val="17"/>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3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 - 16 or 15d - 16 of</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 of February 20, 2026</w:t>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TENARIS, S.A.</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26, Boulevard Royal, 4th floor</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L-2449 Luxembourg</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94"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40-F.</w:t>
      </w:r>
    </w:p>
    <w:p>
      <w:pPr>
        <w:spacing w:after="0" w:line="20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7"/>
          <w:szCs w:val="17"/>
          <w:color w:val="auto"/>
        </w:rPr>
        <w:t>Form 20-F _</w:t>
      </w:r>
      <w:r>
        <w:rPr>
          <w:rFonts w:ascii="Times New Roman" w:cs="Times New Roman" w:eastAsia="Times New Roman" w:hAnsi="Times New Roman"/>
          <w:sz w:val="17"/>
          <w:szCs w:val="17"/>
          <w:u w:val="single" w:color="auto"/>
          <w:color w:val="auto"/>
        </w:rPr>
        <w:t>Ö</w:t>
      </w:r>
      <w:r>
        <w:rPr>
          <w:rFonts w:ascii="Times New Roman" w:cs="Times New Roman" w:eastAsia="Times New Roman" w:hAnsi="Times New Roman"/>
          <w:sz w:val="17"/>
          <w:szCs w:val="17"/>
          <w:color w:val="auto"/>
        </w:rPr>
        <w:t>_ 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spacing w:after="0" w:line="307" w:lineRule="auto"/>
        <w:rPr>
          <w:sz w:val="20"/>
          <w:szCs w:val="20"/>
          <w:color w:val="auto"/>
        </w:rPr>
      </w:pPr>
      <w:r>
        <w:rPr>
          <w:rFonts w:ascii="Times New Roman" w:cs="Times New Roman" w:eastAsia="Times New Roman" w:hAnsi="Times New Roman"/>
          <w:sz w:val="16"/>
          <w:szCs w:val="16"/>
          <w:color w:val="auto"/>
        </w:rPr>
        <w:t>The attached material is being furnished to the Securities and Exchange Commission pursuant to Rule 13a-16 and Form 6-K under the Securities Exchange Act of 1934, as amended. This report contains Tenaris’s Weekly Report (February 16 2026 – February 20, 2026) on the Second Tranche of Tenaris Share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Giovanni Sardagna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Giovanni Sardagna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71412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 w:name="page3"/>
    <w:bookmarkEnd w:id="2"/>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227965</wp:posOffset>
            </wp:positionH>
            <wp:positionV relativeFrom="page">
              <wp:posOffset>361315</wp:posOffset>
            </wp:positionV>
            <wp:extent cx="1873250" cy="528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73250" cy="528320"/>
                    </a:xfrm>
                    <a:prstGeom prst="rect">
                      <a:avLst/>
                    </a:prstGeom>
                    <a:noFill/>
                  </pic:spPr>
                </pic:pic>
              </a:graphicData>
            </a:graphic>
          </wp:anchor>
        </w:drawing>
        <w:drawing>
          <wp:anchor simplePos="0" relativeHeight="251657728" behindDoc="1" locked="0" layoutInCell="0" allowOverlap="1">
            <wp:simplePos x="0" y="0"/>
            <wp:positionH relativeFrom="page">
              <wp:posOffset>5463540</wp:posOffset>
            </wp:positionH>
            <wp:positionV relativeFrom="page">
              <wp:posOffset>361315</wp:posOffset>
            </wp:positionV>
            <wp:extent cx="1857375" cy="528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57375" cy="528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C0C0C0"/>
        </w:rPr>
        <w:t>Giovanni Sardagna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Tenaris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1-888-300-5432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C0C0C0"/>
        </w:rPr>
        <w:t>www.tenaris.com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9900"/>
        </w:rPr>
        <w:t>Weekly Report (February 16, 2026 – February 20, 2026) on the Second Tranche of Tenaris Share Buyback Program.</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Luxembourg, February 20, 2026. - </w:t>
      </w:r>
      <w:r>
        <w:rPr>
          <w:rFonts w:ascii="Times New Roman" w:cs="Times New Roman" w:eastAsia="Times New Roman" w:hAnsi="Times New Roman"/>
          <w:sz w:val="17"/>
          <w:szCs w:val="17"/>
          <w:color w:val="auto"/>
        </w:rPr>
        <w:t>Tenaris S.A. (NYSE and Mexico: TS and EXM Italy: TEN) (“Tenaris”) announced today that pursuant to its Second Tranche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USD1.2 billion Share Buyback Program announced on November 2, 2025, covering up to USD600 million to be executed in the open market, it has repurchased the following ordinary shares from February 16, 2026 to (and including)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200265" cy="196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26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February 16, 2026 to (and including) February 20, 2026, the Company has purchased a total of 13,176 ordinary shares for a total consideration of €283,388 equivalent to USD334,944.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20, 2026, the Company held in treasury 62,352,601 ordinary shares equal to 5.82% of the total issued share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Tenaris intends to cancel treasury shares purchased under the Programs in due course.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the above transactions, are available on Tenaris’s corporate website under the Share Buyback Program Section https://ir.tenaris.com/share-buyback-program.</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 These risks include but are not limited to risks arising from uncertainties as to future oil and gas prices and their impact on investment programs by oil and gas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71412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203835</wp:posOffset>
            </wp:positionH>
            <wp:positionV relativeFrom="page">
              <wp:posOffset>361315</wp:posOffset>
            </wp:positionV>
            <wp:extent cx="208280" cy="192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8280" cy="192405"/>
                    </a:xfrm>
                    <a:prstGeom prst="rect">
                      <a:avLst/>
                    </a:prstGeom>
                    <a:noFill/>
                  </pic:spPr>
                </pic:pic>
              </a:graphicData>
            </a:graphic>
          </wp:anchor>
        </w:drawing>
        <w:t>Tenaris is a leading global supplier of steel tubes and related services for the world’s energy industry and certain other industrial applications.</w:t>
      </w:r>
    </w:p>
    <w:sectPr>
      <w:pgSz w:w="11900" w:h="16838" w:orient="portrait"/>
      <w:cols w:equalWidth="0" w:num="1">
        <w:col w:w="10139"/>
      </w:cols>
      <w:pgMar w:left="320" w:top="13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2026-02-23T05:11:27Z</dcterms:created>
  <dcterms:modified xsi:type="dcterms:W3CDTF">2026-02-23T05:11:27Z</dcterms:modified>
</cp:coreProperties>
</file>