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6k_033026.htm"/>
      <w:bookmarkStart w:id="1" w:name="ksf6k_033026"/>
      <w:bookmarkEnd w:id="0"/>
      <w:bookmarkEnd w:id="1"/>
      <w:r>
        <w:rPr>
          <w:b/>
          <w:sz w:val="20"/>
        </w:rPr>
        <w:t>FORM 6 - 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 - 16 or 15d - 16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As of March 30,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26, Boulevard Royal, 4th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(Address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49" w:right="49" w:firstLine="426"/>
        <w:jc w:val="center"/>
        <w:rPr>
          <w:sz w:val="20"/>
        </w:rPr>
      </w:pPr>
      <w:r>
        <w:rPr>
          <w:sz w:val="20"/>
        </w:rPr>
        <w:t>Indicate by check mark whether the registrant files or will file annual reports under cover Form 20-F or 40-F.</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Form 20-F </w:t>
      </w:r>
      <w:r>
        <w:rPr>
          <w:rFonts w:ascii="Symbol" w:hAnsi="Symbol"/>
          <w:sz w:val="20"/>
          <w:u w:val="single"/>
        </w:rPr>
        <w:t>Ö</w:t>
      </w:r>
      <w:r>
        <w:rPr>
          <w:sz w:val="20"/>
        </w:rPr>
        <w:t xml:space="preserve"> Form 40-F ___</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attached material is being furnished to the Securities and Exchange Commission pursuant to Rule 13a-16 and Form 6-K under the Securities Exchange Act of 1934, as amended. This report contains Tenaris' 2025 Annual Report filed with the Luxembourg Stock Exchange (which includes the consolidated management report containing the financial and non-financial information (or sustainability statement) required by applicable law; the related management certifications on the consolidated financial statements as of and for the year ended 31st December 2025, and on the annual accounts as at 31st December 2025; and the external auditors’ reports on such consolidated financial statements, annual accounts and sustainability statement).</w:t>
      </w:r>
    </w:p>
    <w:p>
      <w:pPr>
        <w:pStyle w:val="TextBody"/>
        <w:bidi w:val="0"/>
        <w:spacing w:before="0" w:after="0"/>
        <w:ind w:left="0" w:right="0" w:hanging="0"/>
        <w:jc w:val="both"/>
        <w:rPr/>
      </w:pPr>
      <w:r>
        <w:rPr/>
        <w:t> </w:t>
      </w:r>
    </w:p>
    <w:p>
      <w:pPr>
        <w:pStyle w:val="TextBody"/>
        <w:bidi w:val="0"/>
        <w:spacing w:before="0" w:after="0"/>
        <w:ind w:left="0" w:right="0" w:hanging="0"/>
        <w:jc w:val="both"/>
        <w:rPr>
          <w:color w:val="009900"/>
        </w:rPr>
      </w:pPr>
      <w:r>
        <w:rPr>
          <w:color w:val="009900"/>
        </w:rPr>
        <w:t> </w:t>
      </w:r>
    </w:p>
    <w:p>
      <w:pPr>
        <w:pStyle w:val="TextBody"/>
        <w:bidi w:val="0"/>
        <w:spacing w:before="0" w:after="0"/>
        <w:ind w:left="0" w:right="0" w:hanging="0"/>
        <w:jc w:val="both"/>
        <w:rPr>
          <w:color w:val="009900"/>
        </w:rPr>
      </w:pPr>
      <w:r>
        <w:rPr>
          <w:color w:val="0099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March 30,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Tenaris, S.A.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/s/ Giovanni Sardagna</w:t>
        <w:tab/>
      </w:r>
    </w:p>
    <w:p>
      <w:pPr>
        <w:pStyle w:val="TextBody"/>
        <w:bidi w:val="0"/>
        <w:spacing w:before="0" w:after="0"/>
        <w:ind w:left="0" w:right="0" w:hanging="0"/>
        <w:jc w:val="left"/>
        <w:rPr>
          <w:sz w:val="20"/>
        </w:rPr>
      </w:pPr>
      <w:r>
        <w:rPr>
          <w:sz w:val="20"/>
        </w:rPr>
        <w:t>Giovanni Sardagna</w:t>
      </w:r>
    </w:p>
    <w:p>
      <w:pPr>
        <w:pStyle w:val="TextBody"/>
        <w:bidi w:val="0"/>
        <w:spacing w:before="0" w:after="0"/>
        <w:ind w:left="0" w:right="0" w:hanging="0"/>
        <w:jc w:val="left"/>
        <w:rPr>
          <w:sz w:val="20"/>
        </w:rPr>
      </w:pPr>
      <w:r>
        <w:rPr>
          <w:sz w:val="20"/>
        </w:rPr>
        <w:t>Investor Relations Officer</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b/>
          <w:sz w:val="20"/>
        </w:rPr>
      </w:pPr>
      <w:r>
        <w:rPr>
          <w:b/>
          <w:sz w:val="20"/>
        </w:rPr>
        <w:t>EXHIBIT INDEX</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745" w:type="dxa"/>
        <w:jc w:val="left"/>
        <w:tblInd w:w="0" w:type="dxa"/>
        <w:tblLayout w:type="fixed"/>
        <w:tblCellMar>
          <w:top w:w="0" w:type="dxa"/>
          <w:left w:w="0" w:type="dxa"/>
          <w:bottom w:w="0" w:type="dxa"/>
          <w:right w:w="0" w:type="dxa"/>
        </w:tblCellMar>
      </w:tblPr>
      <w:tblGrid>
        <w:gridCol w:w="1700"/>
        <w:gridCol w:w="60"/>
        <w:gridCol w:w="1985"/>
      </w:tblGrid>
      <w:tr>
        <w:trPr/>
        <w:tc>
          <w:tcPr>
            <w:tcW w:w="1700" w:type="dxa"/>
            <w:tcBorders/>
            <w:vAlign w:val="center"/>
          </w:tcPr>
          <w:p>
            <w:pPr>
              <w:pStyle w:val="TableContents"/>
              <w:bidi w:val="0"/>
              <w:spacing w:before="0" w:after="283"/>
              <w:jc w:val="left"/>
              <w:rPr>
                <w:b/>
              </w:rPr>
            </w:pPr>
            <w:r>
              <w:rPr>
                <w:b/>
              </w:rPr>
              <w:t>Exhibit Number</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b/>
              </w:rPr>
            </w:pPr>
            <w:r>
              <w:rPr>
                <w:b/>
              </w:rPr>
              <w:t>Description</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hyperlink w:anchor="exh_991.pdf">
              <w:r>
                <w:rPr>
                  <w:rStyle w:val="InternetLink"/>
                </w:rPr>
                <w:t>99.1</w:t>
              </w:r>
            </w:hyperlink>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hyperlink w:anchor="exh_991.pdf">
              <w:r>
                <w:rPr>
                  <w:rStyle w:val="InternetLink"/>
                </w:rPr>
                <w:t>Annual Report 2025</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242</Words>
  <Characters>1349</Characters>
  <CharactersWithSpaces>1622</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