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FORM 6 - K</w:t>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 - 16 or 15d - 16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0" w:lineRule="exact"/>
        <w:rPr>
          <w:sz w:val="24"/>
          <w:szCs w:val="24"/>
          <w:color w:val="auto"/>
        </w:rPr>
      </w:pPr>
    </w:p>
    <w:p>
      <w:pPr>
        <w:spacing w:after="0" w:line="277" w:lineRule="exact"/>
        <w:rPr>
          <w:sz w:val="24"/>
          <w:szCs w:val="24"/>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This Report on Form 6-K shall be incorporated by reference in our automatic shelf Registration Statement on Form F-3 as amended (File No. 333-171751), to the extent not superseded by documents or reports subsequently filed by us under the Securities Act of 1933 or the Securities Exchange Act of 1934, in each case as amended</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As of February 16, 2011</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TENARIS, S.A.</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TENARIS, S.A.</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46a, Avenue John F. Kennedy</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L-1855 Luxembourg</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(Address of principal executive offices)</w:t>
      </w:r>
    </w:p>
    <w:p>
      <w:pPr>
        <w:spacing w:after="0" w:line="200" w:lineRule="exact"/>
        <w:rPr>
          <w:sz w:val="24"/>
          <w:szCs w:val="24"/>
          <w:color w:val="auto"/>
        </w:rPr>
      </w:pPr>
    </w:p>
    <w:p>
      <w:pPr>
        <w:spacing w:after="0" w:line="261"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40-F.</w:t>
      </w:r>
    </w:p>
    <w:p>
      <w:pPr>
        <w:spacing w:after="0" w:line="252"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Form 20-F ü 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2901315</wp:posOffset>
            </wp:positionH>
            <wp:positionV relativeFrom="paragraph">
              <wp:posOffset>-7620</wp:posOffset>
            </wp:positionV>
            <wp:extent cx="1143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-7620</wp:posOffset>
            </wp:positionV>
            <wp:extent cx="1428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is also thereby furnishing the information to the Commission pursuant to Rule 12G3-2(b) under the Securities Exchange Act of 1934.</w:t>
      </w:r>
    </w:p>
    <w:p>
      <w:pPr>
        <w:spacing w:after="0" w:line="218" w:lineRule="exact"/>
        <w:rPr>
          <w:sz w:val="24"/>
          <w:szCs w:val="24"/>
          <w:color w:val="auto"/>
        </w:rPr>
      </w:pPr>
    </w:p>
    <w:p>
      <w:pPr>
        <w:jc w:val="center"/>
        <w:ind w:left="4400"/>
        <w:spacing w:after="0"/>
        <w:tabs>
          <w:tab w:leader="none" w:pos="200" w:val="left"/>
        </w:tabs>
        <w:rPr>
          <w:sz w:val="20"/>
          <w:szCs w:val="20"/>
          <w:color w:val="auto"/>
        </w:rPr>
      </w:pPr>
      <w:r>
        <w:rPr>
          <w:rFonts w:ascii="Times New Roman" w:cs="Times New Roman" w:eastAsia="Times New Roman" w:hAnsi="Times New Roman"/>
          <w:sz w:val="18"/>
          <w:szCs w:val="18"/>
          <w:color w:val="auto"/>
        </w:rPr>
        <w:t>Yes</w:t>
        <w:tab/>
        <w:t>No ü</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2971800</wp:posOffset>
            </wp:positionH>
            <wp:positionV relativeFrom="paragraph">
              <wp:posOffset>-7620</wp:posOffset>
            </wp:positionV>
            <wp:extent cx="85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3225800</wp:posOffset>
            </wp:positionH>
            <wp:positionV relativeFrom="paragraph">
              <wp:posOffset>-7620</wp:posOffset>
            </wp:positionV>
            <wp:extent cx="857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If “Yes” is marked, indicate below the file number assigned to the registrant in connection with Rule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12g3-2(b): 82-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-580390</wp:posOffset>
            </wp:positionH>
            <wp:positionV relativeFrom="paragraph">
              <wp:posOffset>398145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-19050</wp:posOffset>
            </wp:positionV>
            <wp:extent cx="857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9600"/>
          </w:cols>
          <w:pgMar w:left="1160" w:top="783" w:right="1139" w:bottom="1440" w:gutter="0" w:footer="0" w:header="0"/>
        </w:sectPr>
      </w:pPr>
    </w:p>
    <w:bookmarkStart w:id="1" w:name="page2"/>
    <w:bookmarkEnd w:id="1"/>
    <w:p>
      <w:pPr>
        <w:ind w:right="60"/>
        <w:spacing w:after="0" w:line="266" w:lineRule="auto"/>
        <w:rPr>
          <w:sz w:val="20"/>
          <w:szCs w:val="20"/>
          <w:color w:val="auto"/>
        </w:rPr>
      </w:pPr>
      <w:r>
        <w:rPr>
          <w:rFonts w:ascii="Times New Roman" w:cs="Times New Roman" w:eastAsia="Times New Roman" w:hAnsi="Times New Roman"/>
          <w:sz w:val="18"/>
          <w:szCs w:val="18"/>
          <w:color w:val="auto"/>
        </w:rPr>
        <w:t>The attached material is being furnished to the Securities and Exchange Commission pursuant to Rule 13a-16 and Form 6-K under the Securities Exchange Act of 1934, as amended. This report contains Tenaris's press release announcing that it has been informed by its controlling shareholder that there has been a reorganization in the chain of ownership of the Company.</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February 16, 2011</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Tenaris, S.A.</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By: /s/ Cecilia Bilesio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Cecilia Bilesio</w:t>
      </w:r>
    </w:p>
    <w:p>
      <w:pPr>
        <w:spacing w:after="0"/>
        <w:rPr>
          <w:sz w:val="20"/>
          <w:szCs w:val="20"/>
          <w:color w:val="auto"/>
        </w:rPr>
      </w:pPr>
      <w:r>
        <w:rPr>
          <w:rFonts w:ascii="Times New Roman" w:cs="Times New Roman" w:eastAsia="Times New Roman" w:hAnsi="Times New Roman"/>
          <w:sz w:val="22"/>
          <w:szCs w:val="22"/>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250430" cy="45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7205980</wp:posOffset>
            </wp:positionV>
            <wp:extent cx="7250430"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810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1320800" cy="3689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320800" cy="368935"/>
                    </a:xfrm>
                    <a:prstGeom prst="rect">
                      <a:avLst/>
                    </a:prstGeom>
                    <a:noFill/>
                  </pic:spPr>
                </pic:pic>
              </a:graphicData>
            </a:graphic>
          </wp:anchor>
        </w:drawing>
        <w:t>Tenaris S.A.: Controlling Shareholder Reorganization</w:t>
      </w:r>
    </w:p>
    <w:p>
      <w:pPr>
        <w:spacing w:after="0" w:line="24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LUXEMBOURG--(Marketwire - February 15, 2011) - Tenaris S.A. (NYSE: TS) (BAE: TS) (MXSE: TS) (MILAN: TEN) (the "Company") announces that it has been informed by its controlling shareholder that there has been a reorganization in the chain of ownership of the Company pursuant to which the Company's direct and indirect controlling shareholders have been redomiciled to Europe. The Company has been further informed that this reorganization does not involve any change in the control of the Company. Based on the information received:</w:t>
      </w:r>
    </w:p>
    <w:p>
      <w:pPr>
        <w:spacing w:after="0" w:line="207" w:lineRule="exact"/>
        <w:rPr>
          <w:sz w:val="20"/>
          <w:szCs w:val="20"/>
          <w:color w:val="auto"/>
        </w:rPr>
      </w:pPr>
    </w:p>
    <w:p>
      <w:pPr>
        <w:ind w:left="660" w:hanging="202"/>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Techint Holdings S.àr.l. (formerly known as I.I.I. Industrial Investments Inc.) ("Techint") transferred its domicile from the Cayman Islands to Luxembourg;</w:t>
      </w:r>
    </w:p>
    <w:p>
      <w:pPr>
        <w:spacing w:after="0" w:line="188" w:lineRule="exact"/>
        <w:rPr>
          <w:rFonts w:ascii="Times New Roman" w:cs="Times New Roman" w:eastAsia="Times New Roman" w:hAnsi="Times New Roman"/>
          <w:sz w:val="18"/>
          <w:szCs w:val="18"/>
          <w:color w:val="auto"/>
        </w:rPr>
      </w:pPr>
    </w:p>
    <w:p>
      <w:pPr>
        <w:ind w:left="660" w:hanging="202"/>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Techint’s parent company San Faustin NV ("San Faustin") also transferred its domicile from Curacao to Luxembourg and changed its name to "San Faustin S.A." and</w:t>
      </w:r>
    </w:p>
    <w:p>
      <w:pPr>
        <w:spacing w:after="0" w:line="188" w:lineRule="exact"/>
        <w:rPr>
          <w:rFonts w:ascii="Times New Roman" w:cs="Times New Roman" w:eastAsia="Times New Roman" w:hAnsi="Times New Roman"/>
          <w:sz w:val="18"/>
          <w:szCs w:val="18"/>
          <w:color w:val="auto"/>
        </w:rPr>
      </w:pPr>
    </w:p>
    <w:p>
      <w:pPr>
        <w:jc w:val="both"/>
        <w:ind w:left="660" w:hanging="202"/>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redomiciliation of San Faustin into Luxembourg, San Faustin’s controlling entity Rocca &amp; Partners S.A. organized a Dutch private foundation (</w:t>
      </w:r>
      <w:r>
        <w:rPr>
          <w:rFonts w:ascii="Times New Roman" w:cs="Times New Roman" w:eastAsia="Times New Roman" w:hAnsi="Times New Roman"/>
          <w:sz w:val="18"/>
          <w:szCs w:val="18"/>
          <w:i w:val="1"/>
          <w:iCs w:val="1"/>
          <w:color w:val="auto"/>
        </w:rPr>
        <w:t>Stichting</w:t>
      </w:r>
      <w:r>
        <w:rPr>
          <w:rFonts w:ascii="Times New Roman" w:cs="Times New Roman" w:eastAsia="Times New Roman" w:hAnsi="Times New Roman"/>
          <w:sz w:val="18"/>
          <w:szCs w:val="18"/>
          <w:color w:val="auto"/>
        </w:rPr>
        <w:t>) under the name of Rocca &amp; Partners Stichting Administratiekantoor Aandelen San Faustin ("RP STAK"). As of the date hereof, RP STAK holds shares in San Faustin sufficient in number to control San Faustin. No person or group of persons controls RP STAK.</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Tenaris is a leading global supplier of steel tubes and related services for the world's energy industry and certain other industrial applications.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Giovanni Sardagna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Tenaris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1-888-300-5432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www.tenaris.com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50430" cy="450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14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2019-12-15T07:45:14Z</dcterms:created>
  <dcterms:modified xsi:type="dcterms:W3CDTF">2019-12-15T07:45:14Z</dcterms:modified>
</cp:coreProperties>
</file>