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6k_080526.htm"/>
      <w:bookmarkStart w:id="1" w:name="ksf6k_080526"/>
      <w:bookmarkEnd w:id="0"/>
      <w:bookmarkEnd w:id="1"/>
      <w:r>
        <w:rPr>
          <w:b/>
          <w:sz w:val="20"/>
        </w:rPr>
        <w:t>FORM 6 - K</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sz w:val="20"/>
        </w:rPr>
      </w:pPr>
      <w:r>
        <w:rPr>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w:t>
      </w:r>
    </w:p>
    <w:p>
      <w:pPr>
        <w:pStyle w:val="TextBody"/>
        <w:bidi w:val="0"/>
        <w:spacing w:before="0" w:after="0"/>
        <w:ind w:left="0" w:right="0" w:hanging="0"/>
        <w:jc w:val="center"/>
        <w:rPr>
          <w:b/>
          <w:sz w:val="20"/>
        </w:rPr>
      </w:pPr>
      <w:r>
        <w:rPr>
          <w:b/>
          <w:sz w:val="20"/>
        </w:rPr>
        <w:t>Pursuant to Rule 13a - 16 or 15d - 16 of</w:t>
      </w:r>
    </w:p>
    <w:p>
      <w:pPr>
        <w:pStyle w:val="TextBody"/>
        <w:bidi w:val="0"/>
        <w:spacing w:before="0" w:after="0"/>
        <w:ind w:left="0" w:right="0" w:hanging="0"/>
        <w:jc w:val="center"/>
        <w:rPr>
          <w:b/>
          <w:sz w:val="20"/>
        </w:rPr>
      </w:pPr>
      <w:r>
        <w:rPr>
          <w:b/>
          <w:sz w:val="20"/>
        </w:rPr>
        <w:t>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As of August 5,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TENARIS, S.A.</w:t>
      </w:r>
    </w:p>
    <w:p>
      <w:pPr>
        <w:pStyle w:val="TextBody"/>
        <w:bidi w:val="0"/>
        <w:spacing w:before="0" w:after="0"/>
        <w:ind w:left="0" w:right="0" w:hanging="0"/>
        <w:jc w:val="center"/>
        <w:rPr>
          <w:sz w:val="20"/>
        </w:rPr>
      </w:pPr>
      <w:r>
        <w:rPr>
          <w:sz w:val="20"/>
        </w:rP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26, Boulevard Royal, 4th floor</w:t>
      </w:r>
    </w:p>
    <w:p>
      <w:pPr>
        <w:pStyle w:val="TextBody"/>
        <w:bidi w:val="0"/>
        <w:spacing w:before="0" w:after="0"/>
        <w:ind w:left="0" w:right="0" w:hanging="0"/>
        <w:jc w:val="center"/>
        <w:rPr>
          <w:sz w:val="20"/>
        </w:rPr>
      </w:pPr>
      <w:r>
        <w:rPr>
          <w:sz w:val="20"/>
        </w:rPr>
        <w:t>L-2449 Luxembourg</w:t>
      </w:r>
    </w:p>
    <w:p>
      <w:pPr>
        <w:pStyle w:val="TextBody"/>
        <w:bidi w:val="0"/>
        <w:spacing w:before="0" w:after="0"/>
        <w:ind w:left="0" w:right="0" w:hanging="0"/>
        <w:jc w:val="center"/>
        <w:rPr>
          <w:sz w:val="20"/>
        </w:rPr>
      </w:pPr>
      <w:r>
        <w:rPr>
          <w:sz w:val="20"/>
        </w:rPr>
        <w:t>(Address of principal executive offices)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49" w:right="49" w:firstLine="426"/>
        <w:jc w:val="center"/>
        <w:rPr>
          <w:sz w:val="20"/>
        </w:rPr>
      </w:pPr>
      <w:r>
        <w:rPr>
          <w:sz w:val="20"/>
        </w:rPr>
        <w:t>Indicate by check mark whether the registrant files or will file annual reports under cover Form 20-F or 40-F.</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Form 20-F  </w:t>
      </w:r>
      <w:r>
        <w:rPr>
          <w:sz w:val="20"/>
          <w:u w:val="single"/>
        </w:rPr>
        <w:t> &amp;check; </w:t>
      </w:r>
      <w:r>
        <w:rPr>
          <w:sz w:val="20"/>
        </w:rPr>
        <w:t xml:space="preserve">  Form 40-F </w:t>
      </w:r>
      <w:r>
        <w:rPr>
          <w:sz w:val="20"/>
          <w:u w:val="single"/>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120"/>
        <w:ind w:left="0" w:right="0" w:firstLine="400"/>
        <w:jc w:val="both"/>
        <w:rPr/>
      </w:pPr>
      <w:r>
        <w:rPr/>
        <w:t> </w:t>
      </w:r>
    </w:p>
    <w:p>
      <w:pPr>
        <w:pStyle w:val="TextBody"/>
        <w:bidi w:val="0"/>
        <w:spacing w:before="0" w:after="0"/>
        <w:ind w:left="0" w:right="0" w:hanging="0"/>
        <w:jc w:val="left"/>
        <w:rPr>
          <w:sz w:val="20"/>
        </w:rPr>
      </w:pPr>
      <w:r>
        <w:rPr>
          <w:sz w:val="20"/>
        </w:rPr>
        <w:t>The attached material is being furnished to the Securities and Exchange Commission pursuant to Rule 13a-16 and Form 6-K under the Securities Exchange Act of 1934, as amended. This report contains Tenaris’s Press Release announcing 2026 Second Quarter Results.</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center"/>
        <w:rPr>
          <w:sz w:val="20"/>
        </w:rPr>
      </w:pPr>
      <w:r>
        <w:rPr>
          <w:sz w:val="20"/>
        </w:rPr>
        <w:t>SIGNATURE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August 5,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sz w:val="20"/>
        </w:rPr>
      </w:pPr>
      <w:r>
        <w:rPr>
          <w:sz w:val="20"/>
        </w:rPr>
        <w:t>Tenaris, S.A.</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/s/ Giovanni Sardagna</w:t>
      </w:r>
    </w:p>
    <w:p>
      <w:pPr>
        <w:pStyle w:val="TextBody"/>
        <w:bidi w:val="0"/>
        <w:spacing w:before="0" w:after="0"/>
        <w:ind w:left="0" w:right="0" w:hanging="0"/>
        <w:jc w:val="left"/>
        <w:rPr>
          <w:sz w:val="20"/>
        </w:rPr>
      </w:pPr>
      <w:r>
        <w:rPr>
          <w:sz w:val="20"/>
        </w:rPr>
        <w:t>Giovanni Sardagna</w:t>
      </w:r>
    </w:p>
    <w:p>
      <w:pPr>
        <w:pStyle w:val="TextBody"/>
        <w:bidi w:val="0"/>
        <w:spacing w:before="0" w:after="0"/>
        <w:ind w:left="0" w:right="0" w:hanging="0"/>
        <w:jc w:val="left"/>
        <w:rPr>
          <w:sz w:val="20"/>
        </w:rPr>
      </w:pPr>
      <w:r>
        <w:rPr>
          <w:sz w:val="20"/>
        </w:rPr>
        <w:t>Investor Relations Officer</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20" w:type="dxa"/>
        <w:jc w:val="left"/>
        <w:tblInd w:w="0" w:type="dxa"/>
        <w:tblLayout w:type="fixed"/>
        <w:tblCellMar>
          <w:top w:w="0" w:type="dxa"/>
          <w:left w:w="0" w:type="dxa"/>
          <w:bottom w:w="0" w:type="dxa"/>
          <w:right w:w="0" w:type="dxa"/>
        </w:tblCellMar>
      </w:tblPr>
      <w:tblGrid>
        <w:gridCol w:w="3525"/>
        <w:gridCol w:w="3495"/>
      </w:tblGrid>
      <w:tr>
        <w:trPr/>
        <w:tc>
          <w:tcPr>
            <w:tcW w:w="3525" w:type="dxa"/>
            <w:tcBorders/>
            <w:vAlign w:val="center"/>
          </w:tcPr>
          <w:p>
            <w:pPr>
              <w:pStyle w:val="TableContents"/>
              <w:bidi w:val="0"/>
              <w:spacing w:before="0" w:after="283"/>
              <w:jc w:val="left"/>
              <w:rPr/>
            </w:pPr>
            <w:r>
              <w:rPr/>
              <w:drawing>
                <wp:inline distT="0" distB="0" distL="0" distR="0">
                  <wp:extent cx="22288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628650"/>
                          </a:xfrm>
                          <a:prstGeom prst="rect">
                            <a:avLst/>
                          </a:prstGeom>
                        </pic:spPr>
                      </pic:pic>
                    </a:graphicData>
                  </a:graphic>
                </wp:inline>
              </w:drawing>
            </w:r>
          </w:p>
        </w:tc>
        <w:tc>
          <w:tcPr>
            <w:tcW w:w="3495" w:type="dxa"/>
            <w:tcBorders/>
            <w:vAlign w:val="center"/>
          </w:tcPr>
          <w:p>
            <w:pPr>
              <w:pStyle w:val="TableContents"/>
              <w:bidi w:val="0"/>
              <w:spacing w:before="0" w:after="283"/>
              <w:jc w:val="right"/>
              <w:rPr/>
            </w:pPr>
            <w:r>
              <w:rPr/>
              <w:drawing>
                <wp:inline distT="0" distB="0" distL="0" distR="0">
                  <wp:extent cx="2209800"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09800" cy="628650"/>
                          </a:xfrm>
                          <a:prstGeom prst="rect">
                            <a:avLst/>
                          </a:prstGeom>
                        </pic:spPr>
                      </pic:pic>
                    </a:graphicData>
                  </a:graphic>
                </wp:inline>
              </w:drawing>
            </w:r>
          </w:p>
        </w:tc>
      </w:tr>
    </w:tbl>
    <w:p>
      <w:pPr>
        <w:pStyle w:val="TextBody"/>
        <w:bidi w:val="0"/>
        <w:spacing w:before="0" w:after="0"/>
        <w:ind w:left="0" w:right="0" w:hanging="0"/>
        <w:jc w:val="left"/>
        <w:rPr>
          <w:color w:val="C0C0C0"/>
        </w:rPr>
      </w:pPr>
      <w:r>
        <w:rPr>
          <w:color w:val="C0C0C0"/>
        </w:rPr>
        <w:t> </w:t>
      </w:r>
    </w:p>
    <w:p>
      <w:pPr>
        <w:pStyle w:val="TextBody"/>
        <w:bidi w:val="0"/>
        <w:spacing w:before="0" w:after="0"/>
        <w:ind w:left="0" w:right="0" w:hanging="0"/>
        <w:jc w:val="left"/>
        <w:rPr>
          <w:color w:val="C0C0C0"/>
          <w:sz w:val="20"/>
        </w:rPr>
      </w:pPr>
      <w:r>
        <w:rPr>
          <w:color w:val="C0C0C0"/>
          <w:sz w:val="20"/>
        </w:rPr>
        <w:t>Giovanni Sardagna</w:t>
        <w:tab/>
      </w:r>
    </w:p>
    <w:p>
      <w:pPr>
        <w:pStyle w:val="TextBody"/>
        <w:bidi w:val="0"/>
        <w:spacing w:before="0" w:after="0"/>
        <w:ind w:left="0" w:right="0" w:hanging="0"/>
        <w:jc w:val="left"/>
        <w:rPr>
          <w:color w:val="C0C0C0"/>
          <w:sz w:val="20"/>
        </w:rPr>
      </w:pPr>
      <w:r>
        <w:rPr>
          <w:color w:val="C0C0C0"/>
          <w:sz w:val="20"/>
        </w:rPr>
        <w:t>Tenaris</w:t>
      </w:r>
    </w:p>
    <w:p>
      <w:pPr>
        <w:pStyle w:val="TextBody"/>
        <w:bidi w:val="0"/>
        <w:spacing w:before="0" w:after="0"/>
        <w:ind w:left="0" w:right="0" w:hanging="0"/>
        <w:jc w:val="left"/>
        <w:rPr>
          <w:color w:val="C0C0C0"/>
          <w:sz w:val="20"/>
        </w:rPr>
      </w:pPr>
      <w:r>
        <w:rPr>
          <w:color w:val="C0C0C0"/>
          <w:sz w:val="20"/>
        </w:rPr>
        <w:t>1-888-300-5432</w:t>
      </w:r>
    </w:p>
    <w:p>
      <w:pPr>
        <w:pStyle w:val="TextBody"/>
        <w:bidi w:val="0"/>
        <w:spacing w:before="0" w:after="0"/>
        <w:ind w:left="0" w:right="0" w:hanging="0"/>
        <w:jc w:val="left"/>
        <w:rPr>
          <w:color w:val="C0C0C0"/>
          <w:sz w:val="20"/>
        </w:rPr>
      </w:pPr>
      <w:r>
        <w:rPr>
          <w:color w:val="C0C0C0"/>
          <w:sz w:val="20"/>
        </w:rPr>
        <w:t>www.tenaris.com</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color w:val="009900"/>
          <w:sz w:val="28"/>
        </w:rPr>
      </w:pPr>
      <w:r>
        <w:rPr>
          <w:color w:val="009900"/>
          <w:sz w:val="28"/>
        </w:rPr>
        <w:t>Tenaris Announces 2026 Second Quarter Results</w:t>
      </w:r>
    </w:p>
    <w:p>
      <w:pPr>
        <w:pStyle w:val="TextBody"/>
        <w:bidi w:val="0"/>
        <w:spacing w:before="0" w:after="0"/>
        <w:ind w:left="0" w:right="0" w:hanging="0"/>
        <w:jc w:val="left"/>
        <w:rPr/>
      </w:pPr>
      <w:r>
        <w:rPr/>
        <w:t> </w:t>
      </w:r>
    </w:p>
    <w:p>
      <w:pPr>
        <w:pStyle w:val="TextBody"/>
        <w:bidi w:val="0"/>
        <w:spacing w:before="0" w:after="0"/>
        <w:ind w:left="0" w:right="0" w:hanging="0"/>
        <w:jc w:val="both"/>
        <w:rPr>
          <w:i/>
          <w:sz w:val="20"/>
        </w:rPr>
      </w:pPr>
      <w:r>
        <w:rPr>
          <w:i/>
          <w:sz w:val="20"/>
        </w:rPr>
        <w:t>The financial and operational information contained in this press release is based on unaudited consolidated condensed interim financial statements presented in U.S. dollars and prepared in accordance with IFRS Accounting Standards as issued by the International Accounting Standard Board and adopted by the European Union, or IFRS. Additionally, this press release includes non-IFRS alternative performance measures i.e., EBITDA, Free Cash Flow, Net cash / debt and Operating working capital days. See exhibit I for more details on these alternative performance measures.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b/>
          <w:sz w:val="20"/>
        </w:rPr>
        <w:t>Luxembourg, August 5, 2026. -</w:t>
      </w:r>
      <w:r>
        <w:rPr>
          <w:sz w:val="20"/>
        </w:rPr>
        <w:t xml:space="preserve"> Tenaris S.A. (NYSE and Mexico: TS and EXM Italy: TEN) (“Tenaris”) today announced its results for the quarter ended June 30, 2026 in comparison with its results for the quarter ended June 30, 2025.</w:t>
      </w:r>
    </w:p>
    <w:p>
      <w:pPr>
        <w:pStyle w:val="TextBody"/>
        <w:bidi w:val="0"/>
        <w:spacing w:before="0" w:after="0"/>
        <w:ind w:left="0" w:right="0" w:hanging="0"/>
        <w:jc w:val="left"/>
        <w:rPr/>
      </w:pPr>
      <w:r>
        <w:rPr/>
        <w:t> </w:t>
      </w:r>
    </w:p>
    <w:p>
      <w:pPr>
        <w:pStyle w:val="TextBody"/>
        <w:bidi w:val="0"/>
        <w:spacing w:before="0" w:after="0"/>
        <w:ind w:left="0" w:right="0" w:hanging="0"/>
        <w:jc w:val="left"/>
        <w:rPr>
          <w:b/>
          <w:color w:val="009900"/>
          <w:sz w:val="20"/>
        </w:rPr>
      </w:pPr>
      <w:r>
        <w:rPr>
          <w:b/>
          <w:color w:val="009900"/>
          <w:sz w:val="20"/>
        </w:rPr>
        <w:t>Summary of 2026 Second Quarter Results</w:t>
      </w:r>
    </w:p>
    <w:p>
      <w:pPr>
        <w:pStyle w:val="TextBody"/>
        <w:bidi w:val="0"/>
        <w:spacing w:before="0" w:after="0"/>
        <w:ind w:left="0" w:right="0" w:hanging="0"/>
        <w:jc w:val="left"/>
        <w:rPr>
          <w:sz w:val="20"/>
        </w:rPr>
      </w:pPr>
      <w:r>
        <w:rPr>
          <w:sz w:val="20"/>
        </w:rPr>
        <w:t>(Comparison with first quarter of 2026 and second quarter of 2025)</w:t>
      </w:r>
    </w:p>
    <w:p>
      <w:pPr>
        <w:pStyle w:val="TextBody"/>
        <w:bidi w:val="0"/>
        <w:spacing w:before="0" w:after="0"/>
        <w:ind w:left="0" w:right="0" w:hanging="0"/>
        <w:jc w:val="both"/>
        <w:rPr/>
      </w:pPr>
      <w:r>
        <w:rPr/>
        <w:t> </w:t>
      </w:r>
    </w:p>
    <w:tbl>
      <w:tblPr>
        <w:tblW w:w="9265" w:type="dxa"/>
        <w:jc w:val="left"/>
        <w:tblInd w:w="0" w:type="dxa"/>
        <w:tblLayout w:type="fixed"/>
        <w:tblCellMar>
          <w:top w:w="0" w:type="dxa"/>
          <w:left w:w="0" w:type="dxa"/>
          <w:bottom w:w="0" w:type="dxa"/>
          <w:right w:w="0" w:type="dxa"/>
        </w:tblCellMar>
      </w:tblPr>
      <w:tblGrid>
        <w:gridCol w:w="4490"/>
        <w:gridCol w:w="60"/>
        <w:gridCol w:w="60"/>
        <w:gridCol w:w="845"/>
        <w:gridCol w:w="185"/>
        <w:gridCol w:w="60"/>
        <w:gridCol w:w="60"/>
        <w:gridCol w:w="845"/>
        <w:gridCol w:w="185"/>
        <w:gridCol w:w="60"/>
        <w:gridCol w:w="60"/>
        <w:gridCol w:w="290"/>
        <w:gridCol w:w="245"/>
        <w:gridCol w:w="60"/>
        <w:gridCol w:w="60"/>
        <w:gridCol w:w="845"/>
        <w:gridCol w:w="185"/>
        <w:gridCol w:w="60"/>
        <w:gridCol w:w="60"/>
        <w:gridCol w:w="290"/>
        <w:gridCol w:w="260"/>
      </w:tblGrid>
      <w:tr>
        <w:trPr/>
        <w:tc>
          <w:tcPr>
            <w:tcW w:w="449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2Q 2026</w:t>
            </w:r>
          </w:p>
        </w:tc>
        <w:tc>
          <w:tcPr>
            <w:tcW w:w="185" w:type="dxa"/>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500" w:type="dxa"/>
            <w:gridSpan w:val="6"/>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1Q 2026</w:t>
            </w:r>
          </w:p>
        </w:tc>
        <w:tc>
          <w:tcPr>
            <w:tcW w:w="24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500" w:type="dxa"/>
            <w:gridSpan w:val="6"/>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2Q 2025</w:t>
            </w:r>
          </w:p>
        </w:tc>
        <w:tc>
          <w:tcPr>
            <w:tcW w:w="2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20"/>
              </w:rPr>
            </w:pPr>
            <w:r>
              <w:rPr>
                <w:sz w:val="20"/>
              </w:rPr>
              <w:t>Net sales ($ million)</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2,967</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3,100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(4</w:t>
            </w:r>
          </w:p>
        </w:tc>
        <w:tc>
          <w:tcPr>
            <w:tcW w:w="24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3,086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(4</w:t>
            </w:r>
          </w:p>
        </w:tc>
        <w:tc>
          <w:tcPr>
            <w:tcW w:w="260" w:type="dxa"/>
            <w:tcBorders/>
            <w:vAlign w:val="center"/>
          </w:tcPr>
          <w:p>
            <w:pPr>
              <w:pStyle w:val="TableContents"/>
              <w:bidi w:val="0"/>
              <w:spacing w:before="0" w:after="283"/>
              <w:jc w:val="left"/>
              <w:rPr>
                <w:sz w:val="20"/>
              </w:rPr>
            </w:pPr>
            <w:r>
              <w:rPr>
                <w:sz w:val="20"/>
              </w:rPr>
              <w:t>%)</w:t>
            </w:r>
          </w:p>
        </w:tc>
      </w:tr>
      <w:tr>
        <w:trPr/>
        <w:tc>
          <w:tcPr>
            <w:tcW w:w="4490" w:type="dxa"/>
            <w:tcBorders/>
            <w:vAlign w:val="center"/>
          </w:tcPr>
          <w:p>
            <w:pPr>
              <w:pStyle w:val="TableContents"/>
              <w:bidi w:val="0"/>
              <w:spacing w:before="0" w:after="283"/>
              <w:jc w:val="left"/>
              <w:rPr>
                <w:sz w:val="20"/>
              </w:rPr>
            </w:pPr>
            <w:r>
              <w:rPr>
                <w:sz w:val="20"/>
              </w:rPr>
              <w:t>Operating income ($ million)</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494</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584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(15</w:t>
            </w:r>
          </w:p>
        </w:tc>
        <w:tc>
          <w:tcPr>
            <w:tcW w:w="24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583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(15</w:t>
            </w:r>
          </w:p>
        </w:tc>
        <w:tc>
          <w:tcPr>
            <w:tcW w:w="260" w:type="dxa"/>
            <w:tcBorders/>
            <w:vAlign w:val="center"/>
          </w:tcPr>
          <w:p>
            <w:pPr>
              <w:pStyle w:val="TableContents"/>
              <w:bidi w:val="0"/>
              <w:spacing w:before="0" w:after="283"/>
              <w:jc w:val="left"/>
              <w:rPr>
                <w:sz w:val="20"/>
              </w:rPr>
            </w:pPr>
            <w:r>
              <w:rPr>
                <w:sz w:val="20"/>
              </w:rPr>
              <w:t>%)</w:t>
            </w:r>
          </w:p>
        </w:tc>
      </w:tr>
      <w:tr>
        <w:trPr/>
        <w:tc>
          <w:tcPr>
            <w:tcW w:w="4490" w:type="dxa"/>
            <w:tcBorders/>
            <w:vAlign w:val="center"/>
          </w:tcPr>
          <w:p>
            <w:pPr>
              <w:pStyle w:val="TableContents"/>
              <w:bidi w:val="0"/>
              <w:spacing w:before="0" w:after="283"/>
              <w:jc w:val="left"/>
              <w:rPr>
                <w:sz w:val="20"/>
              </w:rPr>
            </w:pPr>
            <w:r>
              <w:rPr>
                <w:sz w:val="20"/>
              </w:rPr>
              <w:t>Net income ($ million)</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492</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564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(13</w:t>
            </w:r>
          </w:p>
        </w:tc>
        <w:tc>
          <w:tcPr>
            <w:tcW w:w="24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542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(9</w:t>
            </w:r>
          </w:p>
        </w:tc>
        <w:tc>
          <w:tcPr>
            <w:tcW w:w="260" w:type="dxa"/>
            <w:tcBorders/>
            <w:vAlign w:val="center"/>
          </w:tcPr>
          <w:p>
            <w:pPr>
              <w:pStyle w:val="TableContents"/>
              <w:bidi w:val="0"/>
              <w:spacing w:before="0" w:after="283"/>
              <w:jc w:val="left"/>
              <w:rPr>
                <w:sz w:val="20"/>
              </w:rPr>
            </w:pPr>
            <w:r>
              <w:rPr>
                <w:sz w:val="20"/>
              </w:rPr>
              <w:t>%)</w:t>
            </w:r>
          </w:p>
        </w:tc>
      </w:tr>
      <w:tr>
        <w:trPr/>
        <w:tc>
          <w:tcPr>
            <w:tcW w:w="4490" w:type="dxa"/>
            <w:tcBorders/>
            <w:vAlign w:val="center"/>
          </w:tcPr>
          <w:p>
            <w:pPr>
              <w:pStyle w:val="TableContents"/>
              <w:bidi w:val="0"/>
              <w:spacing w:before="0" w:after="283"/>
              <w:jc w:val="left"/>
              <w:rPr>
                <w:sz w:val="20"/>
              </w:rPr>
            </w:pPr>
            <w:r>
              <w:rPr>
                <w:sz w:val="20"/>
              </w:rPr>
              <w:t>Shareholders’ net income ($ million)</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477</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541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(12</w:t>
            </w:r>
          </w:p>
        </w:tc>
        <w:tc>
          <w:tcPr>
            <w:tcW w:w="24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531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(10</w:t>
            </w:r>
          </w:p>
        </w:tc>
        <w:tc>
          <w:tcPr>
            <w:tcW w:w="260" w:type="dxa"/>
            <w:tcBorders/>
            <w:vAlign w:val="center"/>
          </w:tcPr>
          <w:p>
            <w:pPr>
              <w:pStyle w:val="TableContents"/>
              <w:bidi w:val="0"/>
              <w:spacing w:before="0" w:after="283"/>
              <w:jc w:val="left"/>
              <w:rPr>
                <w:sz w:val="20"/>
              </w:rPr>
            </w:pPr>
            <w:r>
              <w:rPr>
                <w:sz w:val="20"/>
              </w:rPr>
              <w:t>%)</w:t>
            </w:r>
          </w:p>
        </w:tc>
      </w:tr>
      <w:tr>
        <w:trPr/>
        <w:tc>
          <w:tcPr>
            <w:tcW w:w="4490" w:type="dxa"/>
            <w:tcBorders/>
            <w:vAlign w:val="center"/>
          </w:tcPr>
          <w:p>
            <w:pPr>
              <w:pStyle w:val="TableContents"/>
              <w:bidi w:val="0"/>
              <w:spacing w:before="0" w:after="283"/>
              <w:jc w:val="left"/>
              <w:rPr>
                <w:sz w:val="20"/>
              </w:rPr>
            </w:pPr>
            <w:r>
              <w:rPr>
                <w:sz w:val="20"/>
              </w:rPr>
              <w:t>Earnings per ADS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0.95</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1.07</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(11</w:t>
            </w:r>
          </w:p>
        </w:tc>
        <w:tc>
          <w:tcPr>
            <w:tcW w:w="24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0.99</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(4</w:t>
            </w:r>
          </w:p>
        </w:tc>
        <w:tc>
          <w:tcPr>
            <w:tcW w:w="260" w:type="dxa"/>
            <w:tcBorders/>
            <w:vAlign w:val="center"/>
          </w:tcPr>
          <w:p>
            <w:pPr>
              <w:pStyle w:val="TableContents"/>
              <w:bidi w:val="0"/>
              <w:spacing w:before="0" w:after="283"/>
              <w:jc w:val="left"/>
              <w:rPr>
                <w:sz w:val="20"/>
              </w:rPr>
            </w:pPr>
            <w:r>
              <w:rPr>
                <w:sz w:val="20"/>
              </w:rPr>
              <w:t>%)</w:t>
            </w:r>
          </w:p>
        </w:tc>
      </w:tr>
      <w:tr>
        <w:trPr/>
        <w:tc>
          <w:tcPr>
            <w:tcW w:w="4490" w:type="dxa"/>
            <w:tcBorders/>
            <w:vAlign w:val="center"/>
          </w:tcPr>
          <w:p>
            <w:pPr>
              <w:pStyle w:val="TableContents"/>
              <w:bidi w:val="0"/>
              <w:spacing w:before="0" w:after="283"/>
              <w:jc w:val="left"/>
              <w:rPr>
                <w:sz w:val="20"/>
              </w:rPr>
            </w:pPr>
            <w:r>
              <w:rPr>
                <w:sz w:val="20"/>
              </w:rPr>
              <w:t>Earnings per share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0.47</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0.54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(11</w:t>
            </w:r>
          </w:p>
        </w:tc>
        <w:tc>
          <w:tcPr>
            <w:tcW w:w="24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0.50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(4</w:t>
            </w:r>
          </w:p>
        </w:tc>
        <w:tc>
          <w:tcPr>
            <w:tcW w:w="260" w:type="dxa"/>
            <w:tcBorders/>
            <w:vAlign w:val="center"/>
          </w:tcPr>
          <w:p>
            <w:pPr>
              <w:pStyle w:val="TableContents"/>
              <w:bidi w:val="0"/>
              <w:spacing w:before="0" w:after="283"/>
              <w:jc w:val="left"/>
              <w:rPr>
                <w:sz w:val="20"/>
              </w:rPr>
            </w:pPr>
            <w:r>
              <w:rPr>
                <w:sz w:val="20"/>
              </w:rPr>
              <w:t>%)</w:t>
            </w:r>
          </w:p>
        </w:tc>
      </w:tr>
      <w:tr>
        <w:trPr/>
        <w:tc>
          <w:tcPr>
            <w:tcW w:w="4490" w:type="dxa"/>
            <w:tcBorders/>
            <w:vAlign w:val="center"/>
          </w:tcPr>
          <w:p>
            <w:pPr>
              <w:pStyle w:val="TableContents"/>
              <w:bidi w:val="0"/>
              <w:spacing w:before="0" w:after="283"/>
              <w:jc w:val="left"/>
              <w:rPr>
                <w:sz w:val="20"/>
              </w:rPr>
            </w:pPr>
            <w:r>
              <w:rPr>
                <w:sz w:val="20"/>
              </w:rPr>
              <w:t>EBITDA ($ million)</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649</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735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(12</w:t>
            </w:r>
          </w:p>
        </w:tc>
        <w:tc>
          <w:tcPr>
            <w:tcW w:w="24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733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(11</w:t>
            </w:r>
          </w:p>
        </w:tc>
        <w:tc>
          <w:tcPr>
            <w:tcW w:w="260" w:type="dxa"/>
            <w:tcBorders/>
            <w:vAlign w:val="center"/>
          </w:tcPr>
          <w:p>
            <w:pPr>
              <w:pStyle w:val="TableContents"/>
              <w:bidi w:val="0"/>
              <w:spacing w:before="0" w:after="283"/>
              <w:jc w:val="left"/>
              <w:rPr>
                <w:sz w:val="20"/>
              </w:rPr>
            </w:pPr>
            <w:r>
              <w:rPr>
                <w:sz w:val="20"/>
              </w:rPr>
              <w:t>%)</w:t>
            </w:r>
          </w:p>
        </w:tc>
      </w:tr>
      <w:tr>
        <w:trPr/>
        <w:tc>
          <w:tcPr>
            <w:tcW w:w="4490" w:type="dxa"/>
            <w:tcBorders/>
            <w:vAlign w:val="center"/>
          </w:tcPr>
          <w:p>
            <w:pPr>
              <w:pStyle w:val="TableContents"/>
              <w:bidi w:val="0"/>
              <w:spacing w:before="0" w:after="283"/>
              <w:jc w:val="left"/>
              <w:rPr>
                <w:sz w:val="20"/>
              </w:rPr>
            </w:pPr>
            <w:r>
              <w:rPr>
                <w:sz w:val="20"/>
              </w:rPr>
              <w:t>EBITDA margin (% of net sales)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21.9</w:t>
            </w:r>
          </w:p>
        </w:tc>
        <w:tc>
          <w:tcPr>
            <w:tcW w:w="185"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23.7</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23.7</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20"/>
              </w:rPr>
            </w:pPr>
            <w:r>
              <w:rPr>
                <w:sz w:val="20"/>
              </w:rPr>
              <w:t>Weighted average shares outstanding (thousands)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1,009,640</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1,010,193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1,068,721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sz w:val="20"/>
              </w:rPr>
            </w:pPr>
            <w:r>
              <w:rPr>
                <w:sz w:val="20"/>
              </w:rPr>
              <w:t>Outstanding shares at the end of the period (thousands)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1,009,640</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1,009,640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1,058,901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the second quarter, our sales decreased 4% sequentially reflecting, to a large extent, the postponement of shipments to customers in the Middle East due to the effective closure of the strait of Hormuz for most of the period. Our EBITDA margin also decreased with higher unitary logistic costs, lower absorption of fixed costs and rising raw material costs.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drawing>
          <wp:inline distT="0" distB="0" distL="0" distR="0">
            <wp:extent cx="198120" cy="1828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8120" cy="182880"/>
                    </a:xfrm>
                    <a:prstGeom prst="rect">
                      <a:avLst/>
                    </a:prstGeom>
                  </pic:spPr>
                </pic:pic>
              </a:graphicData>
            </a:graphic>
          </wp:inline>
        </w:drawing>
      </w: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During the quarter, our free cash flow amounted to $396 million and, after spending $606 million on dividends, our net cash position amounted to $3.6 billion at June 30, 2026.</w:t>
      </w:r>
    </w:p>
    <w:p>
      <w:pPr>
        <w:pStyle w:val="TextBody"/>
        <w:bidi w:val="0"/>
        <w:spacing w:before="0" w:after="0"/>
        <w:ind w:left="0" w:right="0" w:hanging="0"/>
        <w:jc w:val="both"/>
        <w:rPr/>
      </w:pPr>
      <w:r>
        <w:rPr/>
        <w:t> </w:t>
      </w:r>
    </w:p>
    <w:p>
      <w:pPr>
        <w:pStyle w:val="TextBody"/>
        <w:bidi w:val="0"/>
        <w:spacing w:before="0" w:after="0"/>
        <w:ind w:left="0" w:right="0" w:hanging="0"/>
        <w:jc w:val="left"/>
        <w:rPr>
          <w:color w:val="009900"/>
          <w:sz w:val="20"/>
        </w:rPr>
      </w:pPr>
      <w:r>
        <w:rPr>
          <w:color w:val="009900"/>
          <w:sz w:val="20"/>
        </w:rPr>
        <w:t>Interim Dividend Payment</w:t>
      </w:r>
    </w:p>
    <w:p>
      <w:pPr>
        <w:pStyle w:val="TextBody"/>
        <w:bidi w:val="0"/>
        <w:spacing w:before="0" w:after="0"/>
        <w:ind w:left="0" w:right="0" w:hanging="0"/>
        <w:jc w:val="left"/>
        <w:rPr>
          <w:color w:val="009900"/>
        </w:rPr>
      </w:pPr>
      <w:r>
        <w:rPr>
          <w:color w:val="009900"/>
        </w:rPr>
        <w:t> </w:t>
      </w:r>
    </w:p>
    <w:p>
      <w:pPr>
        <w:pStyle w:val="TextBody"/>
        <w:shd w:fill="FFFFFF" w:val="clear"/>
        <w:bidi w:val="0"/>
        <w:spacing w:before="0" w:after="0"/>
        <w:ind w:left="0" w:right="0" w:hanging="0"/>
        <w:jc w:val="both"/>
        <w:rPr>
          <w:sz w:val="20"/>
        </w:rPr>
      </w:pPr>
      <w:r>
        <w:rPr>
          <w:sz w:val="20"/>
        </w:rPr>
        <w:t>Our board of directors approved the payment of an interim dividend of $0.59 per share ($1.18 per ADS), or approximately $600 million, according to the following timetable:</w:t>
      </w:r>
    </w:p>
    <w:p>
      <w:pPr>
        <w:pStyle w:val="TextBody"/>
        <w:shd w:fill="FFFFFF" w:val="clear"/>
        <w:bidi w:val="0"/>
        <w:spacing w:before="0" w:after="0"/>
        <w:ind w:left="0" w:right="0" w:hanging="0"/>
        <w:jc w:val="both"/>
        <w:rPr/>
      </w:pPr>
      <w:r>
        <w:rPr/>
        <w:t> </w:t>
      </w:r>
    </w:p>
    <w:tbl>
      <w:tblPr>
        <w:tblW w:w="5000" w:type="pct"/>
        <w:jc w:val="left"/>
        <w:tblInd w:w="0" w:type="dxa"/>
        <w:shd w:fill="FFFFFF" w:val="clear"/>
        <w:tblLayout w:type="fixed"/>
        <w:tblCellMar>
          <w:top w:w="0" w:type="dxa"/>
          <w:left w:w="0" w:type="dxa"/>
          <w:bottom w:w="0" w:type="dxa"/>
          <w:right w:w="0" w:type="dxa"/>
        </w:tblCellMar>
      </w:tblPr>
      <w:tblGrid>
        <w:gridCol w:w="111"/>
        <w:gridCol w:w="322"/>
        <w:gridCol w:w="9772"/>
      </w:tblGrid>
      <w:tr>
        <w:trPr/>
        <w:tc>
          <w:tcPr>
            <w:tcW w:w="111" w:type="dxa"/>
            <w:tcBorders/>
            <w:shd w:fill="FFFFFF" w:val="clear"/>
            <w:vAlign w:val="center"/>
          </w:tcPr>
          <w:p>
            <w:pPr>
              <w:pStyle w:val="TableContents"/>
              <w:bidi w:val="0"/>
              <w:spacing w:before="0" w:after="283"/>
              <w:jc w:val="left"/>
              <w:rPr>
                <w:sz w:val="4"/>
                <w:szCs w:val="4"/>
              </w:rPr>
            </w:pPr>
            <w:r>
              <w:rPr>
                <w:sz w:val="4"/>
                <w:szCs w:val="4"/>
              </w:rPr>
            </w:r>
          </w:p>
        </w:tc>
        <w:tc>
          <w:tcPr>
            <w:tcW w:w="322" w:type="dxa"/>
            <w:tcBorders/>
            <w:shd w:fill="FFFFFF" w:val="clear"/>
            <w:vAlign w:val="center"/>
          </w:tcPr>
          <w:p>
            <w:pPr>
              <w:pStyle w:val="TableContents"/>
              <w:bidi w:val="0"/>
              <w:spacing w:before="0" w:after="283"/>
              <w:jc w:val="left"/>
              <w:rPr/>
            </w:pPr>
            <w:r>
              <w:rPr/>
              <w:t>•</w:t>
            </w:r>
          </w:p>
        </w:tc>
        <w:tc>
          <w:tcPr>
            <w:tcW w:w="9772" w:type="dxa"/>
            <w:tcBorders/>
            <w:shd w:fill="FFFFFF" w:val="clear"/>
            <w:vAlign w:val="center"/>
          </w:tcPr>
          <w:p>
            <w:pPr>
              <w:pStyle w:val="TableContents"/>
              <w:bidi w:val="0"/>
              <w:spacing w:before="0" w:after="283"/>
              <w:jc w:val="both"/>
              <w:rPr/>
            </w:pPr>
            <w:r>
              <w:rPr/>
              <w:t>Payment date: November 25, 2026</w:t>
            </w:r>
          </w:p>
        </w:tc>
      </w:tr>
    </w:tbl>
    <w:tbl>
      <w:tblPr>
        <w:tblW w:w="5000" w:type="pct"/>
        <w:jc w:val="left"/>
        <w:tblInd w:w="0" w:type="dxa"/>
        <w:shd w:fill="FFFFFF" w:val="clear"/>
        <w:tblLayout w:type="fixed"/>
        <w:tblCellMar>
          <w:top w:w="0" w:type="dxa"/>
          <w:left w:w="0" w:type="dxa"/>
          <w:bottom w:w="0" w:type="dxa"/>
          <w:right w:w="0" w:type="dxa"/>
        </w:tblCellMar>
      </w:tblPr>
      <w:tblGrid>
        <w:gridCol w:w="115"/>
        <w:gridCol w:w="335"/>
        <w:gridCol w:w="9755"/>
      </w:tblGrid>
      <w:tr>
        <w:trPr/>
        <w:tc>
          <w:tcPr>
            <w:tcW w:w="115"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pPr>
            <w:r>
              <w:rPr/>
              <w:t>•</w:t>
            </w:r>
          </w:p>
        </w:tc>
        <w:tc>
          <w:tcPr>
            <w:tcW w:w="9755" w:type="dxa"/>
            <w:tcBorders/>
            <w:shd w:fill="FFFFFF" w:val="clear"/>
            <w:vAlign w:val="center"/>
          </w:tcPr>
          <w:p>
            <w:pPr>
              <w:pStyle w:val="TableContents"/>
              <w:bidi w:val="0"/>
              <w:spacing w:before="0" w:after="283"/>
              <w:jc w:val="both"/>
              <w:rPr/>
            </w:pPr>
            <w:r>
              <w:rPr/>
              <w:t>Record date: November 24, 2026</w:t>
            </w:r>
          </w:p>
        </w:tc>
      </w:tr>
    </w:tbl>
    <w:tbl>
      <w:tblPr>
        <w:tblW w:w="5000" w:type="pct"/>
        <w:jc w:val="left"/>
        <w:tblInd w:w="0" w:type="dxa"/>
        <w:shd w:fill="FFFFFF" w:val="clear"/>
        <w:tblLayout w:type="fixed"/>
        <w:tblCellMar>
          <w:top w:w="0" w:type="dxa"/>
          <w:left w:w="0" w:type="dxa"/>
          <w:bottom w:w="0" w:type="dxa"/>
          <w:right w:w="0" w:type="dxa"/>
        </w:tblCellMar>
      </w:tblPr>
      <w:tblGrid>
        <w:gridCol w:w="54"/>
        <w:gridCol w:w="158"/>
        <w:gridCol w:w="9993"/>
      </w:tblGrid>
      <w:tr>
        <w:trPr/>
        <w:tc>
          <w:tcPr>
            <w:tcW w:w="54" w:type="dxa"/>
            <w:tcBorders/>
            <w:shd w:fill="FFFFFF" w:val="clear"/>
            <w:vAlign w:val="center"/>
          </w:tcPr>
          <w:p>
            <w:pPr>
              <w:pStyle w:val="TableContents"/>
              <w:bidi w:val="0"/>
              <w:spacing w:before="0" w:after="283"/>
              <w:jc w:val="left"/>
              <w:rPr>
                <w:sz w:val="4"/>
                <w:szCs w:val="4"/>
              </w:rPr>
            </w:pPr>
            <w:r>
              <w:rPr>
                <w:sz w:val="4"/>
                <w:szCs w:val="4"/>
              </w:rPr>
            </w:r>
          </w:p>
        </w:tc>
        <w:tc>
          <w:tcPr>
            <w:tcW w:w="158" w:type="dxa"/>
            <w:tcBorders/>
            <w:shd w:fill="FFFFFF" w:val="clear"/>
            <w:vAlign w:val="center"/>
          </w:tcPr>
          <w:p>
            <w:pPr>
              <w:pStyle w:val="TableContents"/>
              <w:bidi w:val="0"/>
              <w:spacing w:before="0" w:after="283"/>
              <w:jc w:val="left"/>
              <w:rPr/>
            </w:pPr>
            <w:r>
              <w:rPr/>
              <w:t>•</w:t>
            </w:r>
          </w:p>
        </w:tc>
        <w:tc>
          <w:tcPr>
            <w:tcW w:w="9993" w:type="dxa"/>
            <w:tcBorders/>
            <w:shd w:fill="FFFFFF" w:val="clear"/>
            <w:vAlign w:val="center"/>
          </w:tcPr>
          <w:p>
            <w:pPr>
              <w:pStyle w:val="TableContents"/>
              <w:bidi w:val="0"/>
              <w:spacing w:before="0" w:after="283"/>
              <w:jc w:val="both"/>
              <w:rPr/>
            </w:pPr>
            <w:r>
              <w:rPr/>
              <w:t>Ex-dividend for securities listed in the United States: November 24, 2026</w:t>
            </w:r>
          </w:p>
        </w:tc>
      </w:tr>
    </w:tbl>
    <w:tbl>
      <w:tblPr>
        <w:tblW w:w="5000" w:type="pct"/>
        <w:jc w:val="left"/>
        <w:tblInd w:w="0" w:type="dxa"/>
        <w:shd w:fill="FFFFFF" w:val="clear"/>
        <w:tblLayout w:type="fixed"/>
        <w:tblCellMar>
          <w:top w:w="0" w:type="dxa"/>
          <w:left w:w="0" w:type="dxa"/>
          <w:bottom w:w="0" w:type="dxa"/>
          <w:right w:w="0" w:type="dxa"/>
        </w:tblCellMar>
      </w:tblPr>
      <w:tblGrid>
        <w:gridCol w:w="52"/>
        <w:gridCol w:w="152"/>
        <w:gridCol w:w="10001"/>
      </w:tblGrid>
      <w:tr>
        <w:trPr/>
        <w:tc>
          <w:tcPr>
            <w:tcW w:w="52" w:type="dxa"/>
            <w:tcBorders/>
            <w:shd w:fill="FFFFFF" w:val="clear"/>
            <w:vAlign w:val="center"/>
          </w:tcPr>
          <w:p>
            <w:pPr>
              <w:pStyle w:val="TableContents"/>
              <w:bidi w:val="0"/>
              <w:spacing w:before="0" w:after="283"/>
              <w:jc w:val="left"/>
              <w:rPr>
                <w:sz w:val="4"/>
                <w:szCs w:val="4"/>
              </w:rPr>
            </w:pPr>
            <w:r>
              <w:rPr>
                <w:sz w:val="4"/>
                <w:szCs w:val="4"/>
              </w:rPr>
            </w:r>
          </w:p>
        </w:tc>
        <w:tc>
          <w:tcPr>
            <w:tcW w:w="152" w:type="dxa"/>
            <w:tcBorders/>
            <w:shd w:fill="FFFFFF" w:val="clear"/>
            <w:vAlign w:val="center"/>
          </w:tcPr>
          <w:p>
            <w:pPr>
              <w:pStyle w:val="TableContents"/>
              <w:bidi w:val="0"/>
              <w:spacing w:before="0" w:after="283"/>
              <w:jc w:val="left"/>
              <w:rPr/>
            </w:pPr>
            <w:r>
              <w:rPr/>
              <w:t>•</w:t>
            </w:r>
          </w:p>
        </w:tc>
        <w:tc>
          <w:tcPr>
            <w:tcW w:w="10001" w:type="dxa"/>
            <w:tcBorders/>
            <w:shd w:fill="FFFFFF" w:val="clear"/>
            <w:vAlign w:val="center"/>
          </w:tcPr>
          <w:p>
            <w:pPr>
              <w:pStyle w:val="TableContents"/>
              <w:bidi w:val="0"/>
              <w:spacing w:before="0" w:after="283"/>
              <w:jc w:val="both"/>
              <w:rPr/>
            </w:pPr>
            <w:r>
              <w:rPr/>
              <w:t>Ex-dividend for securities listed in Europe and Mexico: November 23, 2026</w:t>
            </w:r>
          </w:p>
        </w:tc>
      </w:tr>
    </w:tbl>
    <w:p>
      <w:pPr>
        <w:pStyle w:val="TextBody"/>
        <w:bidi w:val="0"/>
        <w:spacing w:before="0" w:after="0"/>
        <w:jc w:val="left"/>
        <w:rPr/>
      </w:pPr>
      <w:r>
        <w:rPr/>
        <w:t> </w:t>
      </w:r>
    </w:p>
    <w:p>
      <w:pPr>
        <w:pStyle w:val="TextBody"/>
        <w:bidi w:val="0"/>
        <w:spacing w:before="0" w:after="0"/>
        <w:ind w:left="0" w:right="0" w:hanging="0"/>
        <w:jc w:val="left"/>
        <w:rPr>
          <w:b/>
          <w:color w:val="009900"/>
          <w:sz w:val="20"/>
        </w:rPr>
      </w:pPr>
      <w:r>
        <w:rPr>
          <w:b/>
          <w:color w:val="009900"/>
          <w:sz w:val="20"/>
        </w:rPr>
        <w:t>Market Background and Outlook</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both"/>
        <w:rPr>
          <w:sz w:val="20"/>
        </w:rPr>
      </w:pPr>
      <w:r>
        <w:rPr>
          <w:sz w:val="20"/>
        </w:rPr>
        <w:t>Oil and gas drilling activity has been increasing in the USA, Canada and Argentina. In addition, customers around the world are moving forward with investments in cost-competitive offshore projects, as the industry increases its focus on security and diversification of supply.</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the United States, OCTG prices have been increasing in response to higher demand and to offset higher raw material and logistic costs.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the Middle East, the conflict continues to cause disruption to shipping through the strait of Hormuz. Drilling activity in Iraq, Kuwait and Qatar has been severely affected, while, in Saudi Arabia and the UAE, it has been largely maintained.</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 the second half, we expect our sales and EBITDA to remain in line with the first half, despite sales continuing to be affected by lower shipments to the Middle East and higher raw material costs. There may be some upside if the shipping disruption at the strait of Hormuz ends before the end of the year. The third quarter will be additionally affected by seasonality and product mix effects, while the fourth quarter will benefit from higher prices and volumes in most regions.</w:t>
      </w:r>
    </w:p>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Changes in the Company's Board of Directors</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both"/>
        <w:rPr>
          <w:sz w:val="20"/>
        </w:rPr>
      </w:pPr>
      <w:r>
        <w:rPr>
          <w:sz w:val="20"/>
        </w:rPr>
        <w:t>The Company’s Board of Directors has been informed at its most recent meeting that Mr. Jaime Serra Puche has resigned as a member of the Board and of its Audit Committee, for personal reasons, and that, due to other commitments, Mr. Germán Curá has resigned as Vice Chair responsible for overseeing Tenaris’s Sustainability Strategy but will continue to serve as a director.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Pursuant to the authority granted to the Board of Directors under Luxembourg law and the Company's articles of association, the Board has appointed Ms. Alicia Móndolo as a member of the Board until the Company’s next shareholders meeting and as Vice Chair responsible for overseeing the Company's Sustainability Strategy, Risk Management and Compliance, and Ms. Maria Novales-Flamarique as a member of the Audit Committee.</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drawing>
          <wp:inline distT="0" distB="0" distL="0" distR="0">
            <wp:extent cx="198120" cy="1828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8120" cy="182880"/>
                    </a:xfrm>
                    <a:prstGeom prst="rect">
                      <a:avLst/>
                    </a:prstGeom>
                  </pic:spPr>
                </pic:pic>
              </a:graphicData>
            </a:graphic>
          </wp:inline>
        </w:drawing>
      </w: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These changes will be effective upon the publication of the Company's unaudited financial statements for the second quarter of 2026. Following such changes, the Board of Directors will be composed of ten members, as follows: Mr. Paolo Rocca, Chairman; Mr. Guillermo Vogel, Vice Chair responsible for overseeing Financial Reporting and Investor Relations; Ms. Alicia Móndolo, Vice Chair responsible for overseeing Sustainability, Risk Management and Compliance; Ms. Monica Tiuba; Mr. Simon Ayat; Ms. Maria Novales-Flamarique; Mr. Gianfelice Rocca; Mr. Roberto Bonatti; Mr. Germán Curá; and Ms. Molly Montgomery. Each of Ms. Tiuba, Mr. Ayat, Ms. Novales-Flamarique and Ms. Montgomery qualify as independent directors.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The Audit Committee will be composed of Ms. Monica Tiuba, as Chair, Mr. Simon Ayat and Ms. Maria Novales-Flamarique.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drawing>
          <wp:inline distT="0" distB="0" distL="0" distR="0">
            <wp:extent cx="198120" cy="1828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8120" cy="182880"/>
                    </a:xfrm>
                    <a:prstGeom prst="rect">
                      <a:avLst/>
                    </a:prstGeom>
                  </pic:spPr>
                </pic:pic>
              </a:graphicData>
            </a:graphic>
          </wp:inline>
        </w:drawing>
      </w:r>
      <w:r>
        <w:rPr/>
        <w:t> </w:t>
      </w:r>
    </w:p>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Analysis of 2026 Second Quarter Results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Tubes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following table indicates, for our Tubes business segment, sales volumes of seamless and welded pipes for the periods indicated below:</w:t>
      </w:r>
    </w:p>
    <w:p>
      <w:pPr>
        <w:pStyle w:val="TextBody"/>
        <w:bidi w:val="0"/>
        <w:spacing w:before="0" w:after="0"/>
        <w:ind w:left="0" w:right="0" w:hanging="0"/>
        <w:jc w:val="both"/>
        <w:rPr/>
      </w:pPr>
      <w:r>
        <w:rPr/>
        <w:t> </w:t>
      </w:r>
    </w:p>
    <w:tbl>
      <w:tblPr>
        <w:tblW w:w="7120" w:type="dxa"/>
        <w:jc w:val="left"/>
        <w:tblInd w:w="0" w:type="dxa"/>
        <w:tblLayout w:type="fixed"/>
        <w:tblCellMar>
          <w:top w:w="0" w:type="dxa"/>
          <w:left w:w="0" w:type="dxa"/>
          <w:bottom w:w="0" w:type="dxa"/>
          <w:right w:w="0" w:type="dxa"/>
        </w:tblCellMar>
      </w:tblPr>
      <w:tblGrid>
        <w:gridCol w:w="3800"/>
        <w:gridCol w:w="60"/>
        <w:gridCol w:w="111"/>
        <w:gridCol w:w="629"/>
        <w:gridCol w:w="60"/>
        <w:gridCol w:w="60"/>
        <w:gridCol w:w="60"/>
        <w:gridCol w:w="335"/>
        <w:gridCol w:w="60"/>
        <w:gridCol w:w="60"/>
        <w:gridCol w:w="60"/>
        <w:gridCol w:w="290"/>
        <w:gridCol w:w="275"/>
        <w:gridCol w:w="60"/>
        <w:gridCol w:w="60"/>
        <w:gridCol w:w="335"/>
        <w:gridCol w:w="60"/>
        <w:gridCol w:w="60"/>
        <w:gridCol w:w="60"/>
        <w:gridCol w:w="185"/>
        <w:gridCol w:w="440"/>
      </w:tblGrid>
      <w:tr>
        <w:trPr/>
        <w:tc>
          <w:tcPr>
            <w:tcW w:w="3800" w:type="dxa"/>
            <w:tcBorders/>
            <w:vAlign w:val="center"/>
          </w:tcPr>
          <w:p>
            <w:pPr>
              <w:pStyle w:val="TableContents"/>
              <w:bidi w:val="0"/>
              <w:spacing w:before="0" w:after="283"/>
              <w:ind w:left="0" w:right="0" w:firstLine="180"/>
              <w:jc w:val="left"/>
              <w:rPr>
                <w:b/>
                <w:sz w:val="20"/>
              </w:rPr>
            </w:pPr>
            <w:r>
              <w:rPr>
                <w:b/>
                <w:sz w:val="20"/>
              </w:rPr>
              <w:t>Tubes Sales volume (thousand metric tons)</w:t>
            </w:r>
          </w:p>
        </w:tc>
        <w:tc>
          <w:tcPr>
            <w:tcW w:w="60" w:type="dxa"/>
            <w:tcBorders/>
            <w:vAlign w:val="center"/>
          </w:tcPr>
          <w:p>
            <w:pPr>
              <w:pStyle w:val="TableContents"/>
              <w:bidi w:val="0"/>
              <w:spacing w:before="0" w:after="283"/>
              <w:jc w:val="left"/>
              <w:rPr/>
            </w:pPr>
            <w:r>
              <w:rPr/>
              <w:t> </w:t>
            </w:r>
          </w:p>
        </w:tc>
        <w:tc>
          <w:tcPr>
            <w:tcW w:w="740" w:type="dxa"/>
            <w:gridSpan w:val="2"/>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2Q 2026</w:t>
            </w:r>
          </w:p>
        </w:tc>
        <w:tc>
          <w:tcPr>
            <w:tcW w:w="60" w:type="dxa"/>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865" w:type="dxa"/>
            <w:gridSpan w:val="6"/>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1Q 2026</w:t>
            </w:r>
          </w:p>
        </w:tc>
        <w:tc>
          <w:tcPr>
            <w:tcW w:w="27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760" w:type="dxa"/>
            <w:gridSpan w:val="6"/>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2Q 2025</w:t>
            </w:r>
          </w:p>
        </w:tc>
        <w:tc>
          <w:tcPr>
            <w:tcW w:w="44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ind w:left="0" w:right="0" w:firstLine="180"/>
              <w:jc w:val="left"/>
              <w:rPr/>
            </w:pPr>
            <w:r>
              <w:rPr/>
              <w:t> </w:t>
            </w:r>
          </w:p>
        </w:tc>
      </w:tr>
      <w:tr>
        <w:trPr/>
        <w:tc>
          <w:tcPr>
            <w:tcW w:w="3800" w:type="dxa"/>
            <w:tcBorders/>
            <w:vAlign w:val="center"/>
          </w:tcPr>
          <w:p>
            <w:pPr>
              <w:pStyle w:val="TableContents"/>
              <w:bidi w:val="0"/>
              <w:spacing w:before="0" w:after="283"/>
              <w:jc w:val="left"/>
              <w:rPr>
                <w:sz w:val="20"/>
              </w:rPr>
            </w:pPr>
            <w:r>
              <w:rPr>
                <w:sz w:val="20"/>
              </w:rPr>
              <w:t>Seamless</w:t>
            </w:r>
          </w:p>
        </w:tc>
        <w:tc>
          <w:tcPr>
            <w:tcW w:w="60" w:type="dxa"/>
            <w:tcBorders/>
            <w:vAlign w:val="center"/>
          </w:tcPr>
          <w:p>
            <w:pPr>
              <w:pStyle w:val="TableContents"/>
              <w:bidi w:val="0"/>
              <w:spacing w:before="0" w:after="283"/>
              <w:jc w:val="left"/>
              <w:rPr/>
            </w:pPr>
            <w:r>
              <w:rPr/>
              <w:t> </w:t>
            </w:r>
          </w:p>
        </w:tc>
        <w:tc>
          <w:tcPr>
            <w:tcW w:w="111" w:type="dxa"/>
            <w:tcBorders/>
            <w:shd w:fill="F2F2F2" w:val="clear"/>
            <w:vAlign w:val="center"/>
          </w:tcPr>
          <w:p>
            <w:pPr>
              <w:pStyle w:val="TableContents"/>
              <w:bidi w:val="0"/>
              <w:spacing w:before="0" w:after="283"/>
              <w:jc w:val="left"/>
              <w:rPr/>
            </w:pPr>
            <w:r>
              <w:rPr/>
              <w:t> </w:t>
            </w:r>
          </w:p>
        </w:tc>
        <w:tc>
          <w:tcPr>
            <w:tcW w:w="629" w:type="dxa"/>
            <w:tcBorders/>
            <w:shd w:fill="F2F2F2" w:val="clear"/>
            <w:vAlign w:val="center"/>
          </w:tcPr>
          <w:p>
            <w:pPr>
              <w:pStyle w:val="TableContents"/>
              <w:bidi w:val="0"/>
              <w:spacing w:before="0" w:after="283"/>
              <w:jc w:val="right"/>
              <w:rPr>
                <w:sz w:val="20"/>
              </w:rPr>
            </w:pPr>
            <w:r>
              <w:rPr>
                <w:sz w:val="20"/>
              </w:rPr>
              <w:t>768</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sz w:val="20"/>
              </w:rPr>
            </w:pPr>
            <w:r>
              <w:rPr>
                <w:sz w:val="20"/>
              </w:rPr>
              <w:t>784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(2</w:t>
            </w:r>
          </w:p>
        </w:tc>
        <w:tc>
          <w:tcPr>
            <w:tcW w:w="27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sz w:val="20"/>
              </w:rPr>
            </w:pPr>
            <w:r>
              <w:rPr>
                <w:sz w:val="20"/>
              </w:rPr>
              <w:t>803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right"/>
              <w:rPr>
                <w:sz w:val="20"/>
              </w:rPr>
            </w:pPr>
            <w:r>
              <w:rPr>
                <w:sz w:val="20"/>
              </w:rPr>
              <w:t>(4</w:t>
            </w:r>
          </w:p>
        </w:tc>
        <w:tc>
          <w:tcPr>
            <w:tcW w:w="440" w:type="dxa"/>
            <w:tcBorders/>
            <w:vAlign w:val="center"/>
          </w:tcPr>
          <w:p>
            <w:pPr>
              <w:pStyle w:val="TableContents"/>
              <w:bidi w:val="0"/>
              <w:spacing w:before="0" w:after="283"/>
              <w:ind w:left="0" w:right="0" w:firstLine="180"/>
              <w:jc w:val="left"/>
              <w:rPr>
                <w:sz w:val="20"/>
              </w:rPr>
            </w:pPr>
            <w:r>
              <w:rPr>
                <w:sz w:val="20"/>
              </w:rPr>
              <w:t>%)</w:t>
            </w:r>
          </w:p>
        </w:tc>
      </w:tr>
      <w:tr>
        <w:trPr/>
        <w:tc>
          <w:tcPr>
            <w:tcW w:w="3800" w:type="dxa"/>
            <w:tcBorders/>
            <w:vAlign w:val="center"/>
          </w:tcPr>
          <w:p>
            <w:pPr>
              <w:pStyle w:val="TableContents"/>
              <w:bidi w:val="0"/>
              <w:spacing w:before="0" w:after="283"/>
              <w:jc w:val="left"/>
              <w:rPr>
                <w:sz w:val="20"/>
              </w:rPr>
            </w:pPr>
            <w:r>
              <w:rPr>
                <w:sz w:val="20"/>
              </w:rPr>
              <w:t>Welded</w:t>
            </w:r>
          </w:p>
        </w:tc>
        <w:tc>
          <w:tcPr>
            <w:tcW w:w="60" w:type="dxa"/>
            <w:tcBorders/>
            <w:vAlign w:val="center"/>
          </w:tcPr>
          <w:p>
            <w:pPr>
              <w:pStyle w:val="TableContents"/>
              <w:bidi w:val="0"/>
              <w:spacing w:before="0" w:after="283"/>
              <w:jc w:val="left"/>
              <w:rPr/>
            </w:pPr>
            <w:r>
              <w:rPr/>
              <w:t> </w:t>
            </w:r>
          </w:p>
        </w:tc>
        <w:tc>
          <w:tcPr>
            <w:tcW w:w="111" w:type="dxa"/>
            <w:tcBorders/>
            <w:shd w:fill="F2F2F2" w:val="clear"/>
            <w:vAlign w:val="center"/>
          </w:tcPr>
          <w:p>
            <w:pPr>
              <w:pStyle w:val="TableContents"/>
              <w:bidi w:val="0"/>
              <w:spacing w:before="0" w:after="283"/>
              <w:jc w:val="left"/>
              <w:rPr/>
            </w:pPr>
            <w:r>
              <w:rPr/>
              <w:t> </w:t>
            </w:r>
          </w:p>
        </w:tc>
        <w:tc>
          <w:tcPr>
            <w:tcW w:w="629" w:type="dxa"/>
            <w:tcBorders/>
            <w:shd w:fill="F2F2F2" w:val="clear"/>
            <w:vAlign w:val="center"/>
          </w:tcPr>
          <w:p>
            <w:pPr>
              <w:pStyle w:val="TableContents"/>
              <w:bidi w:val="0"/>
              <w:spacing w:before="0" w:after="283"/>
              <w:jc w:val="right"/>
              <w:rPr>
                <w:sz w:val="20"/>
              </w:rPr>
            </w:pPr>
            <w:r>
              <w:rPr>
                <w:sz w:val="20"/>
              </w:rPr>
              <w:t>179</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sz w:val="20"/>
              </w:rPr>
            </w:pPr>
            <w:r>
              <w:rPr>
                <w:sz w:val="20"/>
              </w:rPr>
              <w:t>211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(15</w:t>
            </w:r>
          </w:p>
        </w:tc>
        <w:tc>
          <w:tcPr>
            <w:tcW w:w="27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sz w:val="20"/>
              </w:rPr>
            </w:pPr>
            <w:r>
              <w:rPr>
                <w:sz w:val="20"/>
              </w:rPr>
              <w:t>179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right"/>
              <w:rPr>
                <w:sz w:val="20"/>
              </w:rPr>
            </w:pPr>
            <w:r>
              <w:rPr>
                <w:sz w:val="20"/>
              </w:rPr>
              <w:t>0</w:t>
            </w:r>
          </w:p>
        </w:tc>
        <w:tc>
          <w:tcPr>
            <w:tcW w:w="440" w:type="dxa"/>
            <w:tcBorders/>
            <w:vAlign w:val="center"/>
          </w:tcPr>
          <w:p>
            <w:pPr>
              <w:pStyle w:val="TableContents"/>
              <w:bidi w:val="0"/>
              <w:spacing w:before="0" w:after="283"/>
              <w:ind w:left="0" w:right="0" w:firstLine="181"/>
              <w:jc w:val="left"/>
              <w:rPr>
                <w:sz w:val="20"/>
              </w:rPr>
            </w:pPr>
            <w:r>
              <w:rPr>
                <w:sz w:val="20"/>
              </w:rPr>
              <w:t>%</w:t>
            </w:r>
          </w:p>
        </w:tc>
      </w:tr>
      <w:tr>
        <w:trPr/>
        <w:tc>
          <w:tcPr>
            <w:tcW w:w="3800" w:type="dxa"/>
            <w:tcBorders/>
            <w:vAlign w:val="center"/>
          </w:tcPr>
          <w:p>
            <w:pPr>
              <w:pStyle w:val="TableContents"/>
              <w:bidi w:val="0"/>
              <w:spacing w:before="0" w:after="283"/>
              <w:jc w:val="left"/>
              <w:rPr>
                <w:b/>
                <w:sz w:val="20"/>
              </w:rPr>
            </w:pPr>
            <w:r>
              <w:rPr>
                <w:b/>
                <w:sz w:val="20"/>
              </w:rPr>
              <w:t>Total</w:t>
            </w:r>
          </w:p>
        </w:tc>
        <w:tc>
          <w:tcPr>
            <w:tcW w:w="60" w:type="dxa"/>
            <w:tcBorders/>
            <w:vAlign w:val="center"/>
          </w:tcPr>
          <w:p>
            <w:pPr>
              <w:pStyle w:val="TableContents"/>
              <w:bidi w:val="0"/>
              <w:spacing w:before="0" w:after="283"/>
              <w:jc w:val="left"/>
              <w:rPr/>
            </w:pPr>
            <w:r>
              <w:rPr/>
              <w:t> </w:t>
            </w:r>
          </w:p>
        </w:tc>
        <w:tc>
          <w:tcPr>
            <w:tcW w:w="111" w:type="dxa"/>
            <w:tcBorders/>
            <w:shd w:fill="F2F2F2" w:val="clear"/>
            <w:vAlign w:val="center"/>
          </w:tcPr>
          <w:p>
            <w:pPr>
              <w:pStyle w:val="TableContents"/>
              <w:bidi w:val="0"/>
              <w:spacing w:before="0" w:after="283"/>
              <w:jc w:val="left"/>
              <w:rPr/>
            </w:pPr>
            <w:r>
              <w:rPr/>
              <w:t> </w:t>
            </w:r>
          </w:p>
        </w:tc>
        <w:tc>
          <w:tcPr>
            <w:tcW w:w="629" w:type="dxa"/>
            <w:tcBorders/>
            <w:shd w:fill="F2F2F2" w:val="clear"/>
            <w:vAlign w:val="center"/>
          </w:tcPr>
          <w:p>
            <w:pPr>
              <w:pStyle w:val="TableContents"/>
              <w:bidi w:val="0"/>
              <w:spacing w:before="0" w:after="283"/>
              <w:jc w:val="right"/>
              <w:rPr>
                <w:b/>
                <w:sz w:val="20"/>
              </w:rPr>
            </w:pPr>
            <w:r>
              <w:rPr>
                <w:b/>
                <w:sz w:val="20"/>
              </w:rPr>
              <w:t>946</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b/>
                <w:sz w:val="20"/>
              </w:rPr>
            </w:pPr>
            <w:r>
              <w:rPr>
                <w:b/>
                <w:sz w:val="20"/>
              </w:rPr>
              <w:t>995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b/>
                <w:sz w:val="20"/>
              </w:rPr>
            </w:pPr>
            <w:r>
              <w:rPr>
                <w:b/>
                <w:sz w:val="20"/>
              </w:rPr>
              <w:t>(5</w:t>
            </w:r>
          </w:p>
        </w:tc>
        <w:tc>
          <w:tcPr>
            <w:tcW w:w="275" w:type="dxa"/>
            <w:tcBorders/>
            <w:vAlign w:val="center"/>
          </w:tcPr>
          <w:p>
            <w:pPr>
              <w:pStyle w:val="TableContents"/>
              <w:bidi w:val="0"/>
              <w:spacing w:before="0" w:after="283"/>
              <w:jc w:val="left"/>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right"/>
              <w:rPr>
                <w:b/>
                <w:sz w:val="20"/>
              </w:rPr>
            </w:pPr>
            <w:r>
              <w:rPr>
                <w:b/>
                <w:sz w:val="20"/>
              </w:rPr>
              <w:t>982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right"/>
              <w:rPr>
                <w:b/>
                <w:sz w:val="20"/>
              </w:rPr>
            </w:pPr>
            <w:r>
              <w:rPr>
                <w:b/>
                <w:sz w:val="20"/>
              </w:rPr>
              <w:t>(4</w:t>
            </w:r>
          </w:p>
        </w:tc>
        <w:tc>
          <w:tcPr>
            <w:tcW w:w="440" w:type="dxa"/>
            <w:tcBorders/>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following table indicates, for our Tubes business segment, net sales by geographic region, operating income and operating income as a percentage of net sales for the periods indicated below:</w:t>
      </w:r>
    </w:p>
    <w:p>
      <w:pPr>
        <w:pStyle w:val="TextBody"/>
        <w:bidi w:val="0"/>
        <w:spacing w:before="0" w:after="0"/>
        <w:ind w:left="0" w:right="0" w:hanging="0"/>
        <w:jc w:val="both"/>
        <w:rPr/>
      </w:pPr>
      <w:r>
        <w:rPr/>
        <w:t> </w:t>
      </w:r>
    </w:p>
    <w:tbl>
      <w:tblPr>
        <w:tblW w:w="8290" w:type="dxa"/>
        <w:jc w:val="left"/>
        <w:tblInd w:w="0" w:type="dxa"/>
        <w:tblLayout w:type="fixed"/>
        <w:tblCellMar>
          <w:top w:w="0" w:type="dxa"/>
          <w:left w:w="0" w:type="dxa"/>
          <w:bottom w:w="0" w:type="dxa"/>
          <w:right w:w="0" w:type="dxa"/>
        </w:tblCellMar>
      </w:tblPr>
      <w:tblGrid>
        <w:gridCol w:w="4160"/>
        <w:gridCol w:w="60"/>
        <w:gridCol w:w="81"/>
        <w:gridCol w:w="658"/>
        <w:gridCol w:w="185"/>
        <w:gridCol w:w="60"/>
        <w:gridCol w:w="60"/>
        <w:gridCol w:w="485"/>
        <w:gridCol w:w="185"/>
        <w:gridCol w:w="60"/>
        <w:gridCol w:w="60"/>
        <w:gridCol w:w="290"/>
        <w:gridCol w:w="275"/>
        <w:gridCol w:w="60"/>
        <w:gridCol w:w="60"/>
        <w:gridCol w:w="485"/>
        <w:gridCol w:w="185"/>
        <w:gridCol w:w="60"/>
        <w:gridCol w:w="60"/>
        <w:gridCol w:w="290"/>
        <w:gridCol w:w="471"/>
      </w:tblGrid>
      <w:tr>
        <w:trPr/>
        <w:tc>
          <w:tcPr>
            <w:tcW w:w="4160" w:type="dxa"/>
            <w:tcBorders/>
            <w:vAlign w:val="center"/>
          </w:tcPr>
          <w:p>
            <w:pPr>
              <w:pStyle w:val="TableContents"/>
              <w:bidi w:val="0"/>
              <w:spacing w:before="0" w:after="283"/>
              <w:ind w:left="0" w:right="0" w:firstLine="181"/>
              <w:jc w:val="left"/>
              <w:rPr>
                <w:b/>
                <w:sz w:val="20"/>
              </w:rPr>
            </w:pPr>
            <w:r>
              <w:rPr>
                <w:b/>
                <w:sz w:val="20"/>
              </w:rPr>
              <w:t>Tubes</w:t>
            </w:r>
          </w:p>
        </w:tc>
        <w:tc>
          <w:tcPr>
            <w:tcW w:w="60" w:type="dxa"/>
            <w:tcBorders/>
            <w:vAlign w:val="center"/>
          </w:tcPr>
          <w:p>
            <w:pPr>
              <w:pStyle w:val="TableContents"/>
              <w:bidi w:val="0"/>
              <w:spacing w:before="0" w:after="283"/>
              <w:jc w:val="left"/>
              <w:rPr/>
            </w:pPr>
            <w:r>
              <w:rPr/>
              <w:t> </w:t>
            </w:r>
          </w:p>
        </w:tc>
        <w:tc>
          <w:tcPr>
            <w:tcW w:w="739" w:type="dxa"/>
            <w:gridSpan w:val="2"/>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2Q 2026</w:t>
            </w:r>
          </w:p>
        </w:tc>
        <w:tc>
          <w:tcPr>
            <w:tcW w:w="185" w:type="dxa"/>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140" w:type="dxa"/>
            <w:gridSpan w:val="6"/>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1Q 2026</w:t>
            </w:r>
          </w:p>
        </w:tc>
        <w:tc>
          <w:tcPr>
            <w:tcW w:w="27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140" w:type="dxa"/>
            <w:gridSpan w:val="6"/>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2Q 2025</w:t>
            </w:r>
          </w:p>
        </w:tc>
        <w:tc>
          <w:tcPr>
            <w:tcW w:w="47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ind w:left="0" w:right="0" w:firstLine="180"/>
              <w:jc w:val="left"/>
              <w:rPr/>
            </w:pPr>
            <w:r>
              <w:rPr/>
              <w:t> </w:t>
            </w:r>
          </w:p>
        </w:tc>
      </w:tr>
      <w:tr>
        <w:trPr/>
        <w:tc>
          <w:tcPr>
            <w:tcW w:w="4160" w:type="dxa"/>
            <w:tcBorders/>
            <w:vAlign w:val="center"/>
          </w:tcPr>
          <w:p>
            <w:pPr>
              <w:pStyle w:val="TableContents"/>
              <w:bidi w:val="0"/>
              <w:spacing w:before="0" w:after="283"/>
              <w:jc w:val="left"/>
              <w:rPr>
                <w:sz w:val="20"/>
              </w:rPr>
            </w:pPr>
            <w:r>
              <w:rPr>
                <w:sz w:val="20"/>
              </w:rPr>
              <w:t>(Net sales - $ million)</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658" w:type="dxa"/>
            <w:tcBorders/>
            <w:shd w:fill="F2F2F2" w:val="clear"/>
            <w:vAlign w:val="center"/>
          </w:tcPr>
          <w:p>
            <w:pPr>
              <w:pStyle w:val="TableContents"/>
              <w:bidi w:val="0"/>
              <w:spacing w:before="0" w:after="283"/>
              <w:jc w:val="right"/>
              <w:rPr/>
            </w:pPr>
            <w:r>
              <w:rPr/>
              <w:t> </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c>
          <w:tcPr>
            <w:tcW w:w="471" w:type="dxa"/>
            <w:tcBorders/>
            <w:vAlign w:val="center"/>
          </w:tcPr>
          <w:p>
            <w:pPr>
              <w:pStyle w:val="TableContents"/>
              <w:bidi w:val="0"/>
              <w:spacing w:before="0" w:after="283"/>
              <w:ind w:left="0" w:right="0" w:firstLine="180"/>
              <w:jc w:val="left"/>
              <w:rPr/>
            </w:pPr>
            <w:r>
              <w:rPr/>
              <w:t> </w:t>
            </w:r>
          </w:p>
        </w:tc>
      </w:tr>
      <w:tr>
        <w:trPr/>
        <w:tc>
          <w:tcPr>
            <w:tcW w:w="4160" w:type="dxa"/>
            <w:tcBorders/>
            <w:vAlign w:val="center"/>
          </w:tcPr>
          <w:p>
            <w:pPr>
              <w:pStyle w:val="TableContents"/>
              <w:bidi w:val="0"/>
              <w:spacing w:before="0" w:after="283"/>
              <w:jc w:val="left"/>
              <w:rPr>
                <w:sz w:val="20"/>
              </w:rPr>
            </w:pPr>
            <w:r>
              <w:rPr>
                <w:sz w:val="20"/>
              </w:rPr>
              <w:t>North America</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658" w:type="dxa"/>
            <w:tcBorders/>
            <w:shd w:fill="F2F2F2" w:val="clear"/>
            <w:vAlign w:val="center"/>
          </w:tcPr>
          <w:p>
            <w:pPr>
              <w:pStyle w:val="TableContents"/>
              <w:bidi w:val="0"/>
              <w:spacing w:before="0" w:after="283"/>
              <w:jc w:val="right"/>
              <w:rPr>
                <w:sz w:val="20"/>
              </w:rPr>
            </w:pPr>
            <w:r>
              <w:rPr>
                <w:sz w:val="20"/>
              </w:rPr>
              <w:t>1,471</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1,474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0</w:t>
            </w:r>
          </w:p>
        </w:tc>
        <w:tc>
          <w:tcPr>
            <w:tcW w:w="27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1,403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5</w:t>
            </w:r>
          </w:p>
        </w:tc>
        <w:tc>
          <w:tcPr>
            <w:tcW w:w="471" w:type="dxa"/>
            <w:tcBorders/>
            <w:vAlign w:val="center"/>
          </w:tcPr>
          <w:p>
            <w:pPr>
              <w:pStyle w:val="TableContents"/>
              <w:bidi w:val="0"/>
              <w:spacing w:before="0" w:after="283"/>
              <w:ind w:left="0" w:right="0" w:firstLine="180"/>
              <w:jc w:val="left"/>
              <w:rPr>
                <w:sz w:val="20"/>
              </w:rPr>
            </w:pPr>
            <w:r>
              <w:rPr>
                <w:sz w:val="20"/>
              </w:rPr>
              <w:t>%</w:t>
            </w:r>
          </w:p>
        </w:tc>
      </w:tr>
      <w:tr>
        <w:trPr/>
        <w:tc>
          <w:tcPr>
            <w:tcW w:w="4160" w:type="dxa"/>
            <w:tcBorders/>
            <w:vAlign w:val="center"/>
          </w:tcPr>
          <w:p>
            <w:pPr>
              <w:pStyle w:val="TableContents"/>
              <w:bidi w:val="0"/>
              <w:spacing w:before="0" w:after="283"/>
              <w:jc w:val="left"/>
              <w:rPr>
                <w:sz w:val="20"/>
              </w:rPr>
            </w:pPr>
            <w:r>
              <w:rPr>
                <w:sz w:val="20"/>
              </w:rPr>
              <w:t>South America</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658" w:type="dxa"/>
            <w:tcBorders/>
            <w:shd w:fill="F2F2F2" w:val="clear"/>
            <w:vAlign w:val="center"/>
          </w:tcPr>
          <w:p>
            <w:pPr>
              <w:pStyle w:val="TableContents"/>
              <w:bidi w:val="0"/>
              <w:spacing w:before="0" w:after="283"/>
              <w:jc w:val="right"/>
              <w:rPr>
                <w:sz w:val="20"/>
              </w:rPr>
            </w:pPr>
            <w:r>
              <w:rPr>
                <w:sz w:val="20"/>
              </w:rPr>
              <w:t>508</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531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(4</w:t>
            </w:r>
          </w:p>
        </w:tc>
        <w:tc>
          <w:tcPr>
            <w:tcW w:w="27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531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(4</w:t>
            </w:r>
          </w:p>
        </w:tc>
        <w:tc>
          <w:tcPr>
            <w:tcW w:w="471" w:type="dxa"/>
            <w:tcBorders/>
            <w:vAlign w:val="center"/>
          </w:tcPr>
          <w:p>
            <w:pPr>
              <w:pStyle w:val="TableContents"/>
              <w:bidi w:val="0"/>
              <w:spacing w:before="0" w:after="283"/>
              <w:ind w:left="0" w:right="0" w:firstLine="180"/>
              <w:jc w:val="left"/>
              <w:rPr>
                <w:sz w:val="20"/>
              </w:rPr>
            </w:pPr>
            <w:r>
              <w:rPr>
                <w:sz w:val="20"/>
              </w:rPr>
              <w:t>%)</w:t>
            </w:r>
          </w:p>
        </w:tc>
      </w:tr>
      <w:tr>
        <w:trPr/>
        <w:tc>
          <w:tcPr>
            <w:tcW w:w="4160" w:type="dxa"/>
            <w:tcBorders/>
            <w:vAlign w:val="center"/>
          </w:tcPr>
          <w:p>
            <w:pPr>
              <w:pStyle w:val="TableContents"/>
              <w:bidi w:val="0"/>
              <w:spacing w:before="0" w:after="283"/>
              <w:jc w:val="left"/>
              <w:rPr>
                <w:sz w:val="20"/>
              </w:rPr>
            </w:pPr>
            <w:r>
              <w:rPr>
                <w:sz w:val="20"/>
              </w:rPr>
              <w:t>Europe</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658" w:type="dxa"/>
            <w:tcBorders/>
            <w:shd w:fill="F2F2F2" w:val="clear"/>
            <w:vAlign w:val="center"/>
          </w:tcPr>
          <w:p>
            <w:pPr>
              <w:pStyle w:val="TableContents"/>
              <w:bidi w:val="0"/>
              <w:spacing w:before="0" w:after="283"/>
              <w:jc w:val="right"/>
              <w:rPr>
                <w:sz w:val="20"/>
              </w:rPr>
            </w:pPr>
            <w:r>
              <w:rPr>
                <w:sz w:val="20"/>
              </w:rPr>
              <w:t>267</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214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25</w:t>
            </w:r>
          </w:p>
        </w:tc>
        <w:tc>
          <w:tcPr>
            <w:tcW w:w="27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215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24</w:t>
            </w:r>
          </w:p>
        </w:tc>
        <w:tc>
          <w:tcPr>
            <w:tcW w:w="471" w:type="dxa"/>
            <w:tcBorders/>
            <w:vAlign w:val="center"/>
          </w:tcPr>
          <w:p>
            <w:pPr>
              <w:pStyle w:val="TableContents"/>
              <w:bidi w:val="0"/>
              <w:spacing w:before="0" w:after="283"/>
              <w:ind w:left="0" w:right="0" w:firstLine="180"/>
              <w:jc w:val="left"/>
              <w:rPr>
                <w:sz w:val="20"/>
              </w:rPr>
            </w:pPr>
            <w:r>
              <w:rPr>
                <w:sz w:val="20"/>
              </w:rPr>
              <w:t>%</w:t>
            </w:r>
          </w:p>
        </w:tc>
      </w:tr>
      <w:tr>
        <w:trPr/>
        <w:tc>
          <w:tcPr>
            <w:tcW w:w="4160" w:type="dxa"/>
            <w:tcBorders/>
            <w:vAlign w:val="center"/>
          </w:tcPr>
          <w:p>
            <w:pPr>
              <w:pStyle w:val="TableContents"/>
              <w:bidi w:val="0"/>
              <w:spacing w:before="0" w:after="283"/>
              <w:jc w:val="left"/>
              <w:rPr>
                <w:sz w:val="20"/>
              </w:rPr>
            </w:pPr>
            <w:r>
              <w:rPr>
                <w:sz w:val="20"/>
              </w:rPr>
              <w:t>Asia Pacific, Middle East and Africa</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658" w:type="dxa"/>
            <w:tcBorders/>
            <w:shd w:fill="F2F2F2" w:val="clear"/>
            <w:vAlign w:val="center"/>
          </w:tcPr>
          <w:p>
            <w:pPr>
              <w:pStyle w:val="TableContents"/>
              <w:bidi w:val="0"/>
              <w:spacing w:before="0" w:after="283"/>
              <w:jc w:val="right"/>
              <w:rPr>
                <w:sz w:val="20"/>
              </w:rPr>
            </w:pPr>
            <w:r>
              <w:rPr>
                <w:sz w:val="20"/>
              </w:rPr>
              <w:t>557</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712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(22</w:t>
            </w:r>
          </w:p>
        </w:tc>
        <w:tc>
          <w:tcPr>
            <w:tcW w:w="27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771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(28</w:t>
            </w:r>
          </w:p>
        </w:tc>
        <w:tc>
          <w:tcPr>
            <w:tcW w:w="471" w:type="dxa"/>
            <w:tcBorders/>
            <w:vAlign w:val="center"/>
          </w:tcPr>
          <w:p>
            <w:pPr>
              <w:pStyle w:val="TableContents"/>
              <w:bidi w:val="0"/>
              <w:spacing w:before="0" w:after="283"/>
              <w:ind w:left="0" w:right="0" w:firstLine="181"/>
              <w:jc w:val="left"/>
              <w:rPr>
                <w:sz w:val="20"/>
              </w:rPr>
            </w:pPr>
            <w:r>
              <w:rPr>
                <w:sz w:val="20"/>
              </w:rPr>
              <w:t>%)</w:t>
            </w:r>
          </w:p>
        </w:tc>
      </w:tr>
      <w:tr>
        <w:trPr/>
        <w:tc>
          <w:tcPr>
            <w:tcW w:w="4160" w:type="dxa"/>
            <w:tcBorders/>
            <w:vAlign w:val="center"/>
          </w:tcPr>
          <w:p>
            <w:pPr>
              <w:pStyle w:val="TableContents"/>
              <w:bidi w:val="0"/>
              <w:spacing w:before="0" w:after="283"/>
              <w:jc w:val="left"/>
              <w:rPr>
                <w:b/>
                <w:sz w:val="20"/>
              </w:rPr>
            </w:pPr>
            <w:r>
              <w:rPr>
                <w:b/>
                <w:sz w:val="20"/>
              </w:rPr>
              <w:t>Total net sales ($ million)</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658" w:type="dxa"/>
            <w:tcBorders/>
            <w:shd w:fill="F2F2F2" w:val="clear"/>
            <w:vAlign w:val="center"/>
          </w:tcPr>
          <w:p>
            <w:pPr>
              <w:pStyle w:val="TableContents"/>
              <w:bidi w:val="0"/>
              <w:spacing w:before="0" w:after="283"/>
              <w:jc w:val="right"/>
              <w:rPr>
                <w:b/>
                <w:sz w:val="20"/>
              </w:rPr>
            </w:pPr>
            <w:r>
              <w:rPr>
                <w:b/>
                <w:sz w:val="20"/>
              </w:rPr>
              <w:t>2,803</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b/>
                <w:sz w:val="20"/>
              </w:rPr>
            </w:pPr>
            <w:r>
              <w:rPr>
                <w:b/>
                <w:sz w:val="20"/>
              </w:rPr>
              <w:t>2,931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b/>
                <w:sz w:val="20"/>
              </w:rPr>
            </w:pPr>
            <w:r>
              <w:rPr>
                <w:b/>
                <w:sz w:val="20"/>
              </w:rPr>
              <w:t>(4</w:t>
            </w:r>
          </w:p>
        </w:tc>
        <w:tc>
          <w:tcPr>
            <w:tcW w:w="275" w:type="dxa"/>
            <w:tcBorders/>
            <w:vAlign w:val="center"/>
          </w:tcPr>
          <w:p>
            <w:pPr>
              <w:pStyle w:val="TableContents"/>
              <w:bidi w:val="0"/>
              <w:spacing w:before="0" w:after="283"/>
              <w:jc w:val="left"/>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b/>
                <w:sz w:val="20"/>
              </w:rPr>
            </w:pPr>
            <w:r>
              <w:rPr>
                <w:b/>
                <w:sz w:val="20"/>
              </w:rPr>
              <w:t>2,920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b/>
                <w:sz w:val="20"/>
              </w:rPr>
            </w:pPr>
            <w:r>
              <w:rPr>
                <w:b/>
                <w:sz w:val="20"/>
              </w:rPr>
              <w:t>(4</w:t>
            </w:r>
          </w:p>
        </w:tc>
        <w:tc>
          <w:tcPr>
            <w:tcW w:w="471" w:type="dxa"/>
            <w:tcBorders/>
            <w:vAlign w:val="center"/>
          </w:tcPr>
          <w:p>
            <w:pPr>
              <w:pStyle w:val="TableContents"/>
              <w:bidi w:val="0"/>
              <w:spacing w:before="0" w:after="283"/>
              <w:ind w:left="0" w:right="0" w:firstLine="181"/>
              <w:jc w:val="left"/>
              <w:rPr>
                <w:b/>
                <w:sz w:val="20"/>
              </w:rPr>
            </w:pPr>
            <w:r>
              <w:rPr>
                <w:b/>
                <w:sz w:val="20"/>
              </w:rPr>
              <w:t>%)</w:t>
            </w:r>
          </w:p>
        </w:tc>
      </w:tr>
      <w:tr>
        <w:trPr/>
        <w:tc>
          <w:tcPr>
            <w:tcW w:w="4160" w:type="dxa"/>
            <w:tcBorders/>
            <w:vAlign w:val="center"/>
          </w:tcPr>
          <w:p>
            <w:pPr>
              <w:pStyle w:val="TableContents"/>
              <w:bidi w:val="0"/>
              <w:spacing w:before="0" w:after="283"/>
              <w:jc w:val="left"/>
              <w:rPr>
                <w:i/>
                <w:sz w:val="20"/>
              </w:rPr>
            </w:pPr>
            <w:r>
              <w:rPr>
                <w:i/>
                <w:sz w:val="20"/>
              </w:rPr>
              <w:t>Services performed on third party tubes ($ million)</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658" w:type="dxa"/>
            <w:tcBorders/>
            <w:shd w:fill="F2F2F2" w:val="clear"/>
            <w:vAlign w:val="center"/>
          </w:tcPr>
          <w:p>
            <w:pPr>
              <w:pStyle w:val="TableContents"/>
              <w:bidi w:val="0"/>
              <w:spacing w:before="0" w:after="283"/>
              <w:jc w:val="right"/>
              <w:rPr>
                <w:i/>
                <w:sz w:val="20"/>
              </w:rPr>
            </w:pPr>
            <w:r>
              <w:rPr>
                <w:i/>
                <w:sz w:val="20"/>
              </w:rPr>
              <w:t>91</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i/>
                <w:sz w:val="20"/>
              </w:rPr>
            </w:pPr>
            <w:r>
              <w:rPr>
                <w:i/>
                <w:sz w:val="20"/>
              </w:rPr>
              <w:t>109</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b/>
                <w:sz w:val="20"/>
              </w:rPr>
            </w:pPr>
            <w:r>
              <w:rPr>
                <w:b/>
                <w:sz w:val="20"/>
              </w:rPr>
              <w:t>(16</w:t>
            </w:r>
          </w:p>
        </w:tc>
        <w:tc>
          <w:tcPr>
            <w:tcW w:w="275" w:type="dxa"/>
            <w:tcBorders/>
            <w:vAlign w:val="center"/>
          </w:tcPr>
          <w:p>
            <w:pPr>
              <w:pStyle w:val="TableContents"/>
              <w:bidi w:val="0"/>
              <w:spacing w:before="0" w:after="283"/>
              <w:jc w:val="left"/>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i/>
                <w:sz w:val="20"/>
              </w:rPr>
            </w:pPr>
            <w:r>
              <w:rPr>
                <w:i/>
                <w:sz w:val="20"/>
              </w:rPr>
              <w:t>110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b/>
                <w:sz w:val="20"/>
              </w:rPr>
            </w:pPr>
            <w:r>
              <w:rPr>
                <w:b/>
                <w:sz w:val="20"/>
              </w:rPr>
              <w:t>(17</w:t>
            </w:r>
          </w:p>
        </w:tc>
        <w:tc>
          <w:tcPr>
            <w:tcW w:w="471" w:type="dxa"/>
            <w:tcBorders/>
            <w:vAlign w:val="center"/>
          </w:tcPr>
          <w:p>
            <w:pPr>
              <w:pStyle w:val="TableContents"/>
              <w:bidi w:val="0"/>
              <w:spacing w:before="0" w:after="283"/>
              <w:ind w:left="0" w:right="0" w:firstLine="181"/>
              <w:jc w:val="left"/>
              <w:rPr>
                <w:b/>
                <w:sz w:val="20"/>
              </w:rPr>
            </w:pPr>
            <w:r>
              <w:rPr>
                <w:b/>
                <w:sz w:val="20"/>
              </w:rPr>
              <w:t>%)</w:t>
            </w:r>
          </w:p>
        </w:tc>
      </w:tr>
      <w:tr>
        <w:trPr/>
        <w:tc>
          <w:tcPr>
            <w:tcW w:w="4160" w:type="dxa"/>
            <w:tcBorders/>
            <w:vAlign w:val="center"/>
          </w:tcPr>
          <w:p>
            <w:pPr>
              <w:pStyle w:val="TableContents"/>
              <w:bidi w:val="0"/>
              <w:spacing w:before="0" w:after="283"/>
              <w:jc w:val="left"/>
              <w:rPr>
                <w:b/>
                <w:sz w:val="20"/>
              </w:rPr>
            </w:pPr>
            <w:r>
              <w:rPr>
                <w:b/>
                <w:sz w:val="20"/>
              </w:rPr>
              <w:t>Operating income ($ million)</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658" w:type="dxa"/>
            <w:tcBorders/>
            <w:shd w:fill="F2F2F2" w:val="clear"/>
            <w:vAlign w:val="center"/>
          </w:tcPr>
          <w:p>
            <w:pPr>
              <w:pStyle w:val="TableContents"/>
              <w:bidi w:val="0"/>
              <w:spacing w:before="0" w:after="283"/>
              <w:jc w:val="right"/>
              <w:rPr>
                <w:b/>
                <w:sz w:val="20"/>
              </w:rPr>
            </w:pPr>
            <w:r>
              <w:rPr>
                <w:b/>
                <w:sz w:val="20"/>
              </w:rPr>
              <w:t>465</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b/>
                <w:sz w:val="20"/>
              </w:rPr>
            </w:pPr>
            <w:r>
              <w:rPr>
                <w:b/>
                <w:sz w:val="20"/>
              </w:rPr>
              <w:t>545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b/>
                <w:sz w:val="20"/>
              </w:rPr>
            </w:pPr>
            <w:r>
              <w:rPr>
                <w:b/>
                <w:sz w:val="20"/>
              </w:rPr>
              <w:t>(15</w:t>
            </w:r>
          </w:p>
        </w:tc>
        <w:tc>
          <w:tcPr>
            <w:tcW w:w="275" w:type="dxa"/>
            <w:tcBorders/>
            <w:vAlign w:val="center"/>
          </w:tcPr>
          <w:p>
            <w:pPr>
              <w:pStyle w:val="TableContents"/>
              <w:bidi w:val="0"/>
              <w:spacing w:before="0" w:after="283"/>
              <w:jc w:val="left"/>
              <w:rPr>
                <w:b/>
                <w:sz w:val="20"/>
              </w:rPr>
            </w:pPr>
            <w:r>
              <w:rPr>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b/>
                <w:sz w:val="20"/>
              </w:rPr>
            </w:pPr>
            <w:r>
              <w:rPr>
                <w:b/>
                <w:sz w:val="20"/>
              </w:rPr>
              <w:t>554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b/>
                <w:sz w:val="20"/>
              </w:rPr>
            </w:pPr>
            <w:r>
              <w:rPr>
                <w:b/>
                <w:sz w:val="20"/>
              </w:rPr>
              <w:t>(16</w:t>
            </w:r>
          </w:p>
        </w:tc>
        <w:tc>
          <w:tcPr>
            <w:tcW w:w="471" w:type="dxa"/>
            <w:tcBorders/>
            <w:vAlign w:val="center"/>
          </w:tcPr>
          <w:p>
            <w:pPr>
              <w:pStyle w:val="TableContents"/>
              <w:bidi w:val="0"/>
              <w:spacing w:before="0" w:after="283"/>
              <w:ind w:left="0" w:right="0" w:firstLine="180"/>
              <w:jc w:val="left"/>
              <w:rPr>
                <w:b/>
                <w:sz w:val="20"/>
              </w:rPr>
            </w:pPr>
            <w:r>
              <w:rPr>
                <w:b/>
                <w:sz w:val="20"/>
              </w:rPr>
              <w:t>%)</w:t>
            </w:r>
          </w:p>
        </w:tc>
      </w:tr>
      <w:tr>
        <w:trPr/>
        <w:tc>
          <w:tcPr>
            <w:tcW w:w="4160" w:type="dxa"/>
            <w:tcBorders/>
            <w:vAlign w:val="center"/>
          </w:tcPr>
          <w:p>
            <w:pPr>
              <w:pStyle w:val="TableContents"/>
              <w:bidi w:val="0"/>
              <w:spacing w:before="0" w:after="283"/>
              <w:jc w:val="left"/>
              <w:rPr>
                <w:sz w:val="20"/>
              </w:rPr>
            </w:pPr>
            <w:r>
              <w:rPr>
                <w:sz w:val="20"/>
              </w:rPr>
              <w:t>Operating margin (% of sales)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658" w:type="dxa"/>
            <w:tcBorders/>
            <w:shd w:fill="F2F2F2" w:val="clear"/>
            <w:vAlign w:val="center"/>
          </w:tcPr>
          <w:p>
            <w:pPr>
              <w:pStyle w:val="TableContents"/>
              <w:bidi w:val="0"/>
              <w:spacing w:before="0" w:after="283"/>
              <w:jc w:val="right"/>
              <w:rPr>
                <w:sz w:val="20"/>
              </w:rPr>
            </w:pPr>
            <w:r>
              <w:rPr>
                <w:sz w:val="20"/>
              </w:rPr>
              <w:t>16.6</w:t>
            </w:r>
          </w:p>
        </w:tc>
        <w:tc>
          <w:tcPr>
            <w:tcW w:w="185"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18.6</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19.0</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c>
          <w:tcPr>
            <w:tcW w:w="47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i/>
          <w:sz w:val="20"/>
        </w:rPr>
        <w:t>Net sales of tubular products and services</w:t>
      </w:r>
      <w:r>
        <w:rPr>
          <w:sz w:val="20"/>
        </w:rPr>
        <w:t xml:space="preserve"> decreased 4% sequentially and year on year, in line with the volume variation as average selling prices remained stable. Sequentially, in North America, higher sales of OCTG in the United States largely compensated for lower OCTG sales in Canada and Mexico. In South America, lower sales of OCTG in Brazil were partially compensated by an increase in Guyana, Suriname and Venezuela, while, in Argentina, lower sales for pipelines were compensated by higher sales of OCTG. In Europe, we had higher sales of OCTG in Turkey and the start of deliveries of offshore line pipe to the Sakarya Black Sea development. In Asia Pacific, Middle East and Africa, sales declined with the postponement of deliveries to Kuwait and Iraq and lower deliveries to North Africa following a concentration of such deliveries in the previous quarter.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 xml:space="preserve">Operating results from tubular products and services </w:t>
      </w:r>
      <w:r>
        <w:rPr>
          <w:sz w:val="20"/>
        </w:rPr>
        <w:t>amounted to a gain of $465 million in the second quarter of 2026 compared to a gain of $545 million in the previous quarter and a gain of $554 million in the second quarter of 2025. Operating income in the quarter decreased due to higher unitary logistic costs, lower absorption of fixed costs and rising raw material costs.</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drawing>
          <wp:inline distT="0" distB="0" distL="0" distR="0">
            <wp:extent cx="198120" cy="1828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8120" cy="182880"/>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Others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following table indicates, for our Others business segment, net sales, operating income and operating income as a percentage of net sales for the periods indicated below:</w:t>
      </w:r>
    </w:p>
    <w:p>
      <w:pPr>
        <w:pStyle w:val="TextBody"/>
        <w:bidi w:val="0"/>
        <w:spacing w:before="0" w:after="0"/>
        <w:ind w:left="0" w:right="0" w:hanging="0"/>
        <w:jc w:val="both"/>
        <w:rPr/>
      </w:pPr>
      <w:r>
        <w:rPr/>
        <w:t> </w:t>
      </w:r>
    </w:p>
    <w:tbl>
      <w:tblPr>
        <w:tblW w:w="6189" w:type="dxa"/>
        <w:jc w:val="left"/>
        <w:tblInd w:w="0" w:type="dxa"/>
        <w:tblLayout w:type="fixed"/>
        <w:tblCellMar>
          <w:top w:w="0" w:type="dxa"/>
          <w:left w:w="0" w:type="dxa"/>
          <w:bottom w:w="0" w:type="dxa"/>
          <w:right w:w="0" w:type="dxa"/>
        </w:tblCellMar>
      </w:tblPr>
      <w:tblGrid>
        <w:gridCol w:w="2435"/>
        <w:gridCol w:w="60"/>
        <w:gridCol w:w="100"/>
        <w:gridCol w:w="639"/>
        <w:gridCol w:w="185"/>
        <w:gridCol w:w="60"/>
        <w:gridCol w:w="60"/>
        <w:gridCol w:w="380"/>
        <w:gridCol w:w="185"/>
        <w:gridCol w:w="60"/>
        <w:gridCol w:w="60"/>
        <w:gridCol w:w="290"/>
        <w:gridCol w:w="245"/>
        <w:gridCol w:w="60"/>
        <w:gridCol w:w="60"/>
        <w:gridCol w:w="380"/>
        <w:gridCol w:w="185"/>
        <w:gridCol w:w="60"/>
        <w:gridCol w:w="60"/>
        <w:gridCol w:w="185"/>
        <w:gridCol w:w="440"/>
      </w:tblGrid>
      <w:tr>
        <w:trPr/>
        <w:tc>
          <w:tcPr>
            <w:tcW w:w="2435" w:type="dxa"/>
            <w:tcBorders/>
            <w:vAlign w:val="center"/>
          </w:tcPr>
          <w:p>
            <w:pPr>
              <w:pStyle w:val="TableContents"/>
              <w:bidi w:val="0"/>
              <w:spacing w:before="0" w:after="283"/>
              <w:ind w:left="0" w:right="0" w:firstLine="180"/>
              <w:jc w:val="left"/>
              <w:rPr>
                <w:b/>
                <w:sz w:val="20"/>
              </w:rPr>
            </w:pPr>
            <w:r>
              <w:rPr>
                <w:b/>
                <w:sz w:val="20"/>
              </w:rPr>
              <w:t>Others</w:t>
            </w:r>
          </w:p>
        </w:tc>
        <w:tc>
          <w:tcPr>
            <w:tcW w:w="60" w:type="dxa"/>
            <w:tcBorders/>
            <w:vAlign w:val="center"/>
          </w:tcPr>
          <w:p>
            <w:pPr>
              <w:pStyle w:val="TableContents"/>
              <w:bidi w:val="0"/>
              <w:spacing w:before="0" w:after="283"/>
              <w:jc w:val="left"/>
              <w:rPr/>
            </w:pPr>
            <w:r>
              <w:rPr/>
              <w:t> </w:t>
            </w:r>
          </w:p>
        </w:tc>
        <w:tc>
          <w:tcPr>
            <w:tcW w:w="739" w:type="dxa"/>
            <w:gridSpan w:val="2"/>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2Q 2026</w:t>
            </w:r>
          </w:p>
        </w:tc>
        <w:tc>
          <w:tcPr>
            <w:tcW w:w="185" w:type="dxa"/>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035" w:type="dxa"/>
            <w:gridSpan w:val="6"/>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1Q 2026</w:t>
            </w:r>
          </w:p>
        </w:tc>
        <w:tc>
          <w:tcPr>
            <w:tcW w:w="24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930" w:type="dxa"/>
            <w:gridSpan w:val="6"/>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2Q 2025</w:t>
            </w:r>
          </w:p>
        </w:tc>
        <w:tc>
          <w:tcPr>
            <w:tcW w:w="44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ind w:left="0" w:right="0" w:firstLine="180"/>
              <w:jc w:val="left"/>
              <w:rPr/>
            </w:pPr>
            <w:r>
              <w:rPr/>
              <w:t> </w:t>
            </w:r>
          </w:p>
        </w:tc>
      </w:tr>
      <w:tr>
        <w:trPr/>
        <w:tc>
          <w:tcPr>
            <w:tcW w:w="2435" w:type="dxa"/>
            <w:tcBorders/>
            <w:vAlign w:val="center"/>
          </w:tcPr>
          <w:p>
            <w:pPr>
              <w:pStyle w:val="TableContents"/>
              <w:bidi w:val="0"/>
              <w:spacing w:before="0" w:after="283"/>
              <w:jc w:val="left"/>
              <w:rPr>
                <w:sz w:val="20"/>
              </w:rPr>
            </w:pPr>
            <w:r>
              <w:rPr>
                <w:sz w:val="20"/>
              </w:rPr>
              <w:t>Net sales ($ million)</w:t>
            </w:r>
          </w:p>
        </w:tc>
        <w:tc>
          <w:tcPr>
            <w:tcW w:w="60" w:type="dxa"/>
            <w:tcBorders/>
            <w:vAlign w:val="center"/>
          </w:tcPr>
          <w:p>
            <w:pPr>
              <w:pStyle w:val="TableContents"/>
              <w:bidi w:val="0"/>
              <w:spacing w:before="0" w:after="283"/>
              <w:jc w:val="left"/>
              <w:rPr/>
            </w:pPr>
            <w:r>
              <w:rPr/>
              <w:t> </w:t>
            </w:r>
          </w:p>
        </w:tc>
        <w:tc>
          <w:tcPr>
            <w:tcW w:w="100" w:type="dxa"/>
            <w:tcBorders/>
            <w:shd w:fill="F2F2F2" w:val="clear"/>
            <w:vAlign w:val="center"/>
          </w:tcPr>
          <w:p>
            <w:pPr>
              <w:pStyle w:val="TableContents"/>
              <w:bidi w:val="0"/>
              <w:spacing w:before="0" w:after="283"/>
              <w:jc w:val="left"/>
              <w:rPr/>
            </w:pPr>
            <w:r>
              <w:rPr/>
              <w:t> </w:t>
            </w:r>
          </w:p>
        </w:tc>
        <w:tc>
          <w:tcPr>
            <w:tcW w:w="639" w:type="dxa"/>
            <w:tcBorders/>
            <w:shd w:fill="F2F2F2" w:val="clear"/>
            <w:vAlign w:val="center"/>
          </w:tcPr>
          <w:p>
            <w:pPr>
              <w:pStyle w:val="TableContents"/>
              <w:bidi w:val="0"/>
              <w:spacing w:before="0" w:after="283"/>
              <w:jc w:val="right"/>
              <w:rPr>
                <w:sz w:val="20"/>
              </w:rPr>
            </w:pPr>
            <w:r>
              <w:rPr>
                <w:sz w:val="20"/>
              </w:rPr>
              <w:t>164</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sz w:val="20"/>
              </w:rPr>
            </w:pPr>
            <w:r>
              <w:rPr>
                <w:sz w:val="20"/>
              </w:rPr>
              <w:t>169</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(3</w:t>
            </w:r>
          </w:p>
        </w:tc>
        <w:tc>
          <w:tcPr>
            <w:tcW w:w="24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sz w:val="20"/>
              </w:rPr>
            </w:pPr>
            <w:r>
              <w:rPr>
                <w:sz w:val="20"/>
              </w:rPr>
              <w:t>166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right"/>
              <w:rPr>
                <w:sz w:val="20"/>
              </w:rPr>
            </w:pPr>
            <w:r>
              <w:rPr>
                <w:sz w:val="20"/>
              </w:rPr>
              <w:t>(1</w:t>
            </w:r>
          </w:p>
        </w:tc>
        <w:tc>
          <w:tcPr>
            <w:tcW w:w="440" w:type="dxa"/>
            <w:tcBorders/>
            <w:vAlign w:val="center"/>
          </w:tcPr>
          <w:p>
            <w:pPr>
              <w:pStyle w:val="TableContents"/>
              <w:bidi w:val="0"/>
              <w:spacing w:before="0" w:after="283"/>
              <w:ind w:left="0" w:right="0" w:firstLine="180"/>
              <w:jc w:val="left"/>
              <w:rPr>
                <w:sz w:val="20"/>
              </w:rPr>
            </w:pPr>
            <w:r>
              <w:rPr>
                <w:sz w:val="20"/>
              </w:rPr>
              <w:t>%)</w:t>
            </w:r>
          </w:p>
        </w:tc>
      </w:tr>
      <w:tr>
        <w:trPr/>
        <w:tc>
          <w:tcPr>
            <w:tcW w:w="2435" w:type="dxa"/>
            <w:tcBorders/>
            <w:vAlign w:val="center"/>
          </w:tcPr>
          <w:p>
            <w:pPr>
              <w:pStyle w:val="TableContents"/>
              <w:bidi w:val="0"/>
              <w:spacing w:before="0" w:after="283"/>
              <w:jc w:val="left"/>
              <w:rPr>
                <w:sz w:val="20"/>
              </w:rPr>
            </w:pPr>
            <w:r>
              <w:rPr>
                <w:sz w:val="20"/>
              </w:rPr>
              <w:t>Operating income ($ million)</w:t>
            </w:r>
          </w:p>
        </w:tc>
        <w:tc>
          <w:tcPr>
            <w:tcW w:w="60" w:type="dxa"/>
            <w:tcBorders/>
            <w:vAlign w:val="center"/>
          </w:tcPr>
          <w:p>
            <w:pPr>
              <w:pStyle w:val="TableContents"/>
              <w:bidi w:val="0"/>
              <w:spacing w:before="0" w:after="283"/>
              <w:jc w:val="left"/>
              <w:rPr/>
            </w:pPr>
            <w:r>
              <w:rPr/>
              <w:t> </w:t>
            </w:r>
          </w:p>
        </w:tc>
        <w:tc>
          <w:tcPr>
            <w:tcW w:w="100" w:type="dxa"/>
            <w:tcBorders/>
            <w:shd w:fill="F2F2F2" w:val="clear"/>
            <w:vAlign w:val="center"/>
          </w:tcPr>
          <w:p>
            <w:pPr>
              <w:pStyle w:val="TableContents"/>
              <w:bidi w:val="0"/>
              <w:spacing w:before="0" w:after="283"/>
              <w:jc w:val="left"/>
              <w:rPr/>
            </w:pPr>
            <w:r>
              <w:rPr/>
              <w:t> </w:t>
            </w:r>
          </w:p>
        </w:tc>
        <w:tc>
          <w:tcPr>
            <w:tcW w:w="639" w:type="dxa"/>
            <w:tcBorders/>
            <w:shd w:fill="F2F2F2" w:val="clear"/>
            <w:vAlign w:val="center"/>
          </w:tcPr>
          <w:p>
            <w:pPr>
              <w:pStyle w:val="TableContents"/>
              <w:bidi w:val="0"/>
              <w:spacing w:before="0" w:after="283"/>
              <w:jc w:val="right"/>
              <w:rPr>
                <w:sz w:val="20"/>
              </w:rPr>
            </w:pPr>
            <w:r>
              <w:rPr>
                <w:sz w:val="20"/>
              </w:rPr>
              <w:t>29</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sz w:val="20"/>
              </w:rPr>
            </w:pPr>
            <w:r>
              <w:rPr>
                <w:sz w:val="20"/>
              </w:rPr>
              <w:t>39</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sz w:val="20"/>
              </w:rPr>
            </w:pPr>
            <w:r>
              <w:rPr>
                <w:sz w:val="20"/>
              </w:rPr>
              <w:t>(26</w:t>
            </w:r>
          </w:p>
        </w:tc>
        <w:tc>
          <w:tcPr>
            <w:tcW w:w="24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sz w:val="20"/>
              </w:rPr>
            </w:pPr>
            <w:r>
              <w:rPr>
                <w:sz w:val="20"/>
              </w:rPr>
              <w:t>29</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right"/>
              <w:rPr>
                <w:sz w:val="20"/>
              </w:rPr>
            </w:pPr>
            <w:r>
              <w:rPr>
                <w:sz w:val="20"/>
              </w:rPr>
              <w:t>1</w:t>
            </w:r>
          </w:p>
        </w:tc>
        <w:tc>
          <w:tcPr>
            <w:tcW w:w="440" w:type="dxa"/>
            <w:tcBorders/>
            <w:vAlign w:val="center"/>
          </w:tcPr>
          <w:p>
            <w:pPr>
              <w:pStyle w:val="TableContents"/>
              <w:bidi w:val="0"/>
              <w:spacing w:before="0" w:after="283"/>
              <w:ind w:left="0" w:right="0" w:firstLine="180"/>
              <w:jc w:val="left"/>
              <w:rPr>
                <w:sz w:val="20"/>
              </w:rPr>
            </w:pPr>
            <w:r>
              <w:rPr>
                <w:sz w:val="20"/>
              </w:rPr>
              <w:t>%</w:t>
            </w:r>
          </w:p>
        </w:tc>
      </w:tr>
      <w:tr>
        <w:trPr/>
        <w:tc>
          <w:tcPr>
            <w:tcW w:w="2435" w:type="dxa"/>
            <w:tcBorders/>
            <w:vAlign w:val="center"/>
          </w:tcPr>
          <w:p>
            <w:pPr>
              <w:pStyle w:val="TableContents"/>
              <w:bidi w:val="0"/>
              <w:spacing w:before="0" w:after="283"/>
              <w:jc w:val="left"/>
              <w:rPr>
                <w:sz w:val="20"/>
              </w:rPr>
            </w:pPr>
            <w:r>
              <w:rPr>
                <w:sz w:val="20"/>
              </w:rPr>
              <w:t>Operating margin (% of sales)</w:t>
            </w:r>
          </w:p>
        </w:tc>
        <w:tc>
          <w:tcPr>
            <w:tcW w:w="60" w:type="dxa"/>
            <w:tcBorders/>
            <w:vAlign w:val="center"/>
          </w:tcPr>
          <w:p>
            <w:pPr>
              <w:pStyle w:val="TableContents"/>
              <w:bidi w:val="0"/>
              <w:spacing w:before="0" w:after="283"/>
              <w:jc w:val="left"/>
              <w:rPr/>
            </w:pPr>
            <w:r>
              <w:rPr/>
              <w:t> </w:t>
            </w:r>
          </w:p>
        </w:tc>
        <w:tc>
          <w:tcPr>
            <w:tcW w:w="100" w:type="dxa"/>
            <w:tcBorders/>
            <w:shd w:fill="F2F2F2" w:val="clear"/>
            <w:vAlign w:val="center"/>
          </w:tcPr>
          <w:p>
            <w:pPr>
              <w:pStyle w:val="TableContents"/>
              <w:bidi w:val="0"/>
              <w:spacing w:before="0" w:after="283"/>
              <w:jc w:val="left"/>
              <w:rPr/>
            </w:pPr>
            <w:r>
              <w:rPr/>
              <w:t> </w:t>
            </w:r>
          </w:p>
        </w:tc>
        <w:tc>
          <w:tcPr>
            <w:tcW w:w="639" w:type="dxa"/>
            <w:tcBorders/>
            <w:shd w:fill="F2F2F2" w:val="clear"/>
            <w:vAlign w:val="center"/>
          </w:tcPr>
          <w:p>
            <w:pPr>
              <w:pStyle w:val="TableContents"/>
              <w:bidi w:val="0"/>
              <w:spacing w:before="0" w:after="283"/>
              <w:jc w:val="right"/>
              <w:rPr>
                <w:sz w:val="20"/>
              </w:rPr>
            </w:pPr>
            <w:r>
              <w:rPr>
                <w:sz w:val="20"/>
              </w:rPr>
              <w:t>17.8</w:t>
            </w:r>
          </w:p>
        </w:tc>
        <w:tc>
          <w:tcPr>
            <w:tcW w:w="185"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sz w:val="20"/>
              </w:rPr>
            </w:pPr>
            <w:r>
              <w:rPr>
                <w:sz w:val="20"/>
              </w:rPr>
              <w:t>23.2</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sz w:val="20"/>
              </w:rPr>
            </w:pPr>
            <w:r>
              <w:rPr>
                <w:sz w:val="20"/>
              </w:rPr>
              <w:t>17.3</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right"/>
              <w:rPr/>
            </w:pPr>
            <w:r>
              <w:rPr/>
              <w:t> </w:t>
            </w:r>
          </w:p>
        </w:tc>
        <w:tc>
          <w:tcPr>
            <w:tcW w:w="4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Net sales of other products and services</w:t>
      </w:r>
      <w:r>
        <w:rPr>
          <w:sz w:val="20"/>
        </w:rPr>
        <w:t xml:space="preserve"> decreased 3% sequentially and decreased 1% year on year. Sequentially sales declined mainly due to lower sales of oilfield services in Argentina.</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sz w:val="20"/>
        </w:rPr>
        <w:t>Selling, general and administrative expenses</w:t>
      </w:r>
      <w:r>
        <w:rPr>
          <w:sz w:val="20"/>
        </w:rPr>
        <w:t xml:space="preserve">, </w:t>
      </w:r>
      <w:r>
        <w:rPr>
          <w:b/>
          <w:sz w:val="20"/>
        </w:rPr>
        <w:t>or SG&amp;A</w:t>
      </w:r>
      <w:r>
        <w:rPr>
          <w:sz w:val="20"/>
        </w:rPr>
        <w:t>, amounted to $484 million, or 16.3% of net sales, in the second quarter of 2026, compared to $467 million, 15.0% in the previous quarter and $484 million, 15.7% in the second quarter of 2025. Sequentially, the increase in SG&amp;A is mainly due to higher services and fees and increased unitary logistic costs associated to the closure of the strait of Hormuz.</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sz w:val="20"/>
        </w:rPr>
        <w:t>Financial results</w:t>
      </w:r>
      <w:r>
        <w:rPr>
          <w:sz w:val="20"/>
        </w:rPr>
        <w:t xml:space="preserve"> amounted to a gain of $32 million in the second quarter of 2026, compared to a gain of $50 million in the previous quarter and a gain of $32 million in the second quarter of 2025. Financial results of the quarter are mainly attributable to a $41 million net finance income from the net return of our portfolio investments, net of a $9 million loss from foreign exchange transactions and derivatives.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sz w:val="20"/>
        </w:rPr>
        <w:t>Equity in earnings of non-consolidated companies</w:t>
      </w:r>
      <w:r>
        <w:rPr>
          <w:sz w:val="20"/>
        </w:rPr>
        <w:t xml:space="preserve"> generated a gain of $48 million in the second quarter of 2026, compared to a gain of $33 million in the previous quarter and a gain of $33 million in the second quarter of 2025. These results are mainly derived from our participation in Ternium (NYSE:TX) and Usiminas.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sz w:val="20"/>
        </w:rPr>
        <w:t>Income tax charge</w:t>
      </w:r>
      <w:r>
        <w:rPr>
          <w:sz w:val="20"/>
        </w:rPr>
        <w:t xml:space="preserve"> amounted to $82 million in the second quarter of 2026, compared to $103 million in the previous quarter and $105 million in the second quarter of 2025.</w:t>
      </w:r>
    </w:p>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Cash Flow and Liquidity of 2026 Second Quarter</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Net cash generated by operating activities during the second quarter of 2026 was $518 million, compared to $618 million in the previous quarter and $673 million in the second quarter of 2025.</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drawing>
          <wp:inline distT="0" distB="0" distL="0" distR="0">
            <wp:extent cx="198120" cy="18288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8120" cy="182880"/>
                    </a:xfrm>
                    <a:prstGeom prst="rect">
                      <a:avLst/>
                    </a:prstGeom>
                  </pic:spPr>
                </pic:pic>
              </a:graphicData>
            </a:graphic>
          </wp:inline>
        </w:drawing>
      </w: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With capital expenditures of $121 million, our free cash flow amounted to $396 million during the quarter. Following a dividend payment of $606 million in the quarter, our net cash position amounted to $3.6 billion at June 30, 2026.</w:t>
      </w:r>
    </w:p>
    <w:p>
      <w:pPr>
        <w:pStyle w:val="TextBody"/>
        <w:bidi w:val="0"/>
        <w:spacing w:before="0" w:after="0"/>
        <w:ind w:left="0" w:right="0" w:hanging="0"/>
        <w:jc w:val="both"/>
        <w:rPr/>
      </w:pPr>
      <w:r>
        <w:rPr/>
        <w:t> </w:t>
      </w:r>
    </w:p>
    <w:p>
      <w:pPr>
        <w:pStyle w:val="TextBody"/>
        <w:bidi w:val="0"/>
        <w:spacing w:before="0" w:after="0"/>
        <w:ind w:left="0" w:right="0" w:hanging="0"/>
        <w:jc w:val="left"/>
        <w:rPr>
          <w:color w:val="009900"/>
          <w:sz w:val="20"/>
        </w:rPr>
      </w:pPr>
      <w:r>
        <w:rPr>
          <w:color w:val="009900"/>
          <w:sz w:val="20"/>
        </w:rPr>
        <w:t>Analysis of 2026 First Half Results</w:t>
      </w:r>
    </w:p>
    <w:p>
      <w:pPr>
        <w:pStyle w:val="TextBody"/>
        <w:bidi w:val="0"/>
        <w:spacing w:before="0" w:after="0"/>
        <w:ind w:left="0" w:right="0" w:hanging="0"/>
        <w:jc w:val="both"/>
        <w:rPr/>
      </w:pPr>
      <w:r>
        <w:rPr/>
        <w:t> </w:t>
      </w:r>
    </w:p>
    <w:tbl>
      <w:tblPr>
        <w:tblW w:w="9035" w:type="dxa"/>
        <w:jc w:val="left"/>
        <w:tblInd w:w="0" w:type="dxa"/>
        <w:tblLayout w:type="fixed"/>
        <w:tblCellMar>
          <w:top w:w="0" w:type="dxa"/>
          <w:left w:w="0" w:type="dxa"/>
          <w:bottom w:w="0" w:type="dxa"/>
          <w:right w:w="0" w:type="dxa"/>
        </w:tblCellMar>
      </w:tblPr>
      <w:tblGrid>
        <w:gridCol w:w="4490"/>
        <w:gridCol w:w="60"/>
        <w:gridCol w:w="60"/>
        <w:gridCol w:w="845"/>
        <w:gridCol w:w="185"/>
        <w:gridCol w:w="60"/>
        <w:gridCol w:w="60"/>
        <w:gridCol w:w="845"/>
        <w:gridCol w:w="185"/>
        <w:gridCol w:w="60"/>
        <w:gridCol w:w="60"/>
        <w:gridCol w:w="1685"/>
        <w:gridCol w:w="440"/>
      </w:tblGrid>
      <w:tr>
        <w:trPr/>
        <w:tc>
          <w:tcPr>
            <w:tcW w:w="449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6M 2026</w:t>
            </w:r>
          </w:p>
        </w:tc>
        <w:tc>
          <w:tcPr>
            <w:tcW w:w="185" w:type="dxa"/>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90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6M 2025</w:t>
            </w:r>
          </w:p>
        </w:tc>
        <w:tc>
          <w:tcPr>
            <w:tcW w:w="1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pPr>
            <w:r>
              <w:rPr/>
              <w:t> </w:t>
            </w:r>
          </w:p>
        </w:tc>
        <w:tc>
          <w:tcPr>
            <w:tcW w:w="16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Increase/(Decrease)</w:t>
            </w:r>
          </w:p>
        </w:tc>
        <w:tc>
          <w:tcPr>
            <w:tcW w:w="44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ind w:left="0" w:right="0" w:firstLine="180"/>
              <w:jc w:val="left"/>
              <w:rPr/>
            </w:pPr>
            <w:r>
              <w:rPr/>
              <w:t> </w:t>
            </w:r>
          </w:p>
        </w:tc>
      </w:tr>
      <w:tr>
        <w:trPr/>
        <w:tc>
          <w:tcPr>
            <w:tcW w:w="4490" w:type="dxa"/>
            <w:tcBorders/>
            <w:vAlign w:val="center"/>
          </w:tcPr>
          <w:p>
            <w:pPr>
              <w:pStyle w:val="TableContents"/>
              <w:bidi w:val="0"/>
              <w:spacing w:before="0" w:after="283"/>
              <w:jc w:val="left"/>
              <w:rPr>
                <w:sz w:val="20"/>
              </w:rPr>
            </w:pPr>
            <w:r>
              <w:rPr>
                <w:sz w:val="20"/>
              </w:rPr>
              <w:t>Net sales ($ million)</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6,067</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6,008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1</w:t>
            </w:r>
          </w:p>
        </w:tc>
        <w:tc>
          <w:tcPr>
            <w:tcW w:w="440" w:type="dxa"/>
            <w:tcBorders/>
            <w:vAlign w:val="center"/>
          </w:tcPr>
          <w:p>
            <w:pPr>
              <w:pStyle w:val="TableContents"/>
              <w:bidi w:val="0"/>
              <w:spacing w:before="0" w:after="283"/>
              <w:ind w:left="0" w:right="0" w:firstLine="180"/>
              <w:jc w:val="left"/>
              <w:rPr>
                <w:sz w:val="20"/>
              </w:rPr>
            </w:pPr>
            <w:r>
              <w:rPr>
                <w:sz w:val="20"/>
              </w:rPr>
              <w:t>%</w:t>
            </w:r>
          </w:p>
        </w:tc>
      </w:tr>
      <w:tr>
        <w:trPr/>
        <w:tc>
          <w:tcPr>
            <w:tcW w:w="4490" w:type="dxa"/>
            <w:tcBorders/>
            <w:vAlign w:val="center"/>
          </w:tcPr>
          <w:p>
            <w:pPr>
              <w:pStyle w:val="TableContents"/>
              <w:bidi w:val="0"/>
              <w:spacing w:before="0" w:after="283"/>
              <w:jc w:val="left"/>
              <w:rPr>
                <w:sz w:val="20"/>
              </w:rPr>
            </w:pPr>
            <w:r>
              <w:rPr>
                <w:sz w:val="20"/>
              </w:rPr>
              <w:t>Operating income ($ million)</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1,078</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1,133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(5</w:t>
            </w:r>
          </w:p>
        </w:tc>
        <w:tc>
          <w:tcPr>
            <w:tcW w:w="440" w:type="dxa"/>
            <w:tcBorders/>
            <w:vAlign w:val="center"/>
          </w:tcPr>
          <w:p>
            <w:pPr>
              <w:pStyle w:val="TableContents"/>
              <w:bidi w:val="0"/>
              <w:spacing w:before="0" w:after="283"/>
              <w:ind w:left="0" w:right="0" w:firstLine="180"/>
              <w:jc w:val="left"/>
              <w:rPr>
                <w:sz w:val="20"/>
              </w:rPr>
            </w:pPr>
            <w:r>
              <w:rPr>
                <w:sz w:val="20"/>
              </w:rPr>
              <w:t>%)</w:t>
            </w:r>
          </w:p>
        </w:tc>
      </w:tr>
      <w:tr>
        <w:trPr/>
        <w:tc>
          <w:tcPr>
            <w:tcW w:w="4490" w:type="dxa"/>
            <w:tcBorders/>
            <w:vAlign w:val="center"/>
          </w:tcPr>
          <w:p>
            <w:pPr>
              <w:pStyle w:val="TableContents"/>
              <w:bidi w:val="0"/>
              <w:spacing w:before="0" w:after="283"/>
              <w:jc w:val="left"/>
              <w:rPr>
                <w:sz w:val="20"/>
              </w:rPr>
            </w:pPr>
            <w:r>
              <w:rPr>
                <w:sz w:val="20"/>
              </w:rPr>
              <w:t>Net income ($ million)</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1,056</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1,060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0</w:t>
            </w:r>
          </w:p>
        </w:tc>
        <w:tc>
          <w:tcPr>
            <w:tcW w:w="440" w:type="dxa"/>
            <w:tcBorders/>
            <w:vAlign w:val="center"/>
          </w:tcPr>
          <w:p>
            <w:pPr>
              <w:pStyle w:val="TableContents"/>
              <w:bidi w:val="0"/>
              <w:spacing w:before="0" w:after="283"/>
              <w:ind w:left="0" w:right="0" w:firstLine="180"/>
              <w:jc w:val="left"/>
              <w:rPr>
                <w:sz w:val="20"/>
              </w:rPr>
            </w:pPr>
            <w:r>
              <w:rPr>
                <w:sz w:val="20"/>
              </w:rPr>
              <w:t>%</w:t>
            </w:r>
          </w:p>
        </w:tc>
      </w:tr>
      <w:tr>
        <w:trPr/>
        <w:tc>
          <w:tcPr>
            <w:tcW w:w="4490" w:type="dxa"/>
            <w:tcBorders/>
            <w:vAlign w:val="center"/>
          </w:tcPr>
          <w:p>
            <w:pPr>
              <w:pStyle w:val="TableContents"/>
              <w:bidi w:val="0"/>
              <w:spacing w:before="0" w:after="283"/>
              <w:jc w:val="left"/>
              <w:rPr>
                <w:sz w:val="20"/>
              </w:rPr>
            </w:pPr>
            <w:r>
              <w:rPr>
                <w:sz w:val="20"/>
              </w:rPr>
              <w:t>Shareholders’ net income ($ million)</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1,018</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1,038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(2</w:t>
            </w:r>
          </w:p>
        </w:tc>
        <w:tc>
          <w:tcPr>
            <w:tcW w:w="440" w:type="dxa"/>
            <w:tcBorders/>
            <w:vAlign w:val="center"/>
          </w:tcPr>
          <w:p>
            <w:pPr>
              <w:pStyle w:val="TableContents"/>
              <w:bidi w:val="0"/>
              <w:spacing w:before="0" w:after="283"/>
              <w:ind w:left="0" w:right="0" w:firstLine="180"/>
              <w:jc w:val="left"/>
              <w:rPr>
                <w:sz w:val="20"/>
              </w:rPr>
            </w:pPr>
            <w:r>
              <w:rPr>
                <w:sz w:val="20"/>
              </w:rPr>
              <w:t>%)</w:t>
            </w:r>
          </w:p>
        </w:tc>
      </w:tr>
      <w:tr>
        <w:trPr/>
        <w:tc>
          <w:tcPr>
            <w:tcW w:w="4490" w:type="dxa"/>
            <w:tcBorders/>
            <w:vAlign w:val="center"/>
          </w:tcPr>
          <w:p>
            <w:pPr>
              <w:pStyle w:val="TableContents"/>
              <w:bidi w:val="0"/>
              <w:spacing w:before="0" w:after="283"/>
              <w:jc w:val="left"/>
              <w:rPr>
                <w:sz w:val="20"/>
              </w:rPr>
            </w:pPr>
            <w:r>
              <w:rPr>
                <w:sz w:val="20"/>
              </w:rPr>
              <w:t>Earnings per ADS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2.02</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1.94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4</w:t>
            </w:r>
          </w:p>
        </w:tc>
        <w:tc>
          <w:tcPr>
            <w:tcW w:w="440" w:type="dxa"/>
            <w:tcBorders/>
            <w:vAlign w:val="center"/>
          </w:tcPr>
          <w:p>
            <w:pPr>
              <w:pStyle w:val="TableContents"/>
              <w:bidi w:val="0"/>
              <w:spacing w:before="0" w:after="283"/>
              <w:ind w:left="0" w:right="0" w:firstLine="180"/>
              <w:jc w:val="left"/>
              <w:rPr>
                <w:sz w:val="20"/>
              </w:rPr>
            </w:pPr>
            <w:r>
              <w:rPr>
                <w:sz w:val="20"/>
              </w:rPr>
              <w:t>%</w:t>
            </w:r>
          </w:p>
        </w:tc>
      </w:tr>
      <w:tr>
        <w:trPr/>
        <w:tc>
          <w:tcPr>
            <w:tcW w:w="4490" w:type="dxa"/>
            <w:tcBorders/>
            <w:vAlign w:val="center"/>
          </w:tcPr>
          <w:p>
            <w:pPr>
              <w:pStyle w:val="TableContents"/>
              <w:bidi w:val="0"/>
              <w:spacing w:before="0" w:after="283"/>
              <w:jc w:val="left"/>
              <w:rPr>
                <w:sz w:val="20"/>
              </w:rPr>
            </w:pPr>
            <w:r>
              <w:rPr>
                <w:sz w:val="20"/>
              </w:rPr>
              <w:t>Earnings per share ($)</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1.01</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0.97</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4</w:t>
            </w:r>
          </w:p>
        </w:tc>
        <w:tc>
          <w:tcPr>
            <w:tcW w:w="440" w:type="dxa"/>
            <w:tcBorders/>
            <w:vAlign w:val="center"/>
          </w:tcPr>
          <w:p>
            <w:pPr>
              <w:pStyle w:val="TableContents"/>
              <w:bidi w:val="0"/>
              <w:spacing w:before="0" w:after="283"/>
              <w:ind w:left="0" w:right="0" w:firstLine="180"/>
              <w:jc w:val="left"/>
              <w:rPr>
                <w:sz w:val="20"/>
              </w:rPr>
            </w:pPr>
            <w:r>
              <w:rPr>
                <w:sz w:val="20"/>
              </w:rPr>
              <w:t>%</w:t>
            </w:r>
          </w:p>
        </w:tc>
      </w:tr>
      <w:tr>
        <w:trPr/>
        <w:tc>
          <w:tcPr>
            <w:tcW w:w="4490" w:type="dxa"/>
            <w:tcBorders/>
            <w:vAlign w:val="center"/>
          </w:tcPr>
          <w:p>
            <w:pPr>
              <w:pStyle w:val="TableContents"/>
              <w:bidi w:val="0"/>
              <w:spacing w:before="0" w:after="283"/>
              <w:jc w:val="left"/>
              <w:rPr>
                <w:sz w:val="20"/>
              </w:rPr>
            </w:pPr>
            <w:r>
              <w:rPr>
                <w:sz w:val="20"/>
              </w:rPr>
              <w:t>EBITDA ($ million)</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1,385</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1,429</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(3</w:t>
            </w:r>
          </w:p>
        </w:tc>
        <w:tc>
          <w:tcPr>
            <w:tcW w:w="440" w:type="dxa"/>
            <w:tcBorders/>
            <w:vAlign w:val="center"/>
          </w:tcPr>
          <w:p>
            <w:pPr>
              <w:pStyle w:val="TableContents"/>
              <w:bidi w:val="0"/>
              <w:spacing w:before="0" w:after="283"/>
              <w:ind w:left="0" w:right="0" w:firstLine="180"/>
              <w:jc w:val="left"/>
              <w:rPr>
                <w:sz w:val="20"/>
              </w:rPr>
            </w:pPr>
            <w:r>
              <w:rPr>
                <w:sz w:val="20"/>
              </w:rPr>
              <w:t>%)</w:t>
            </w:r>
          </w:p>
        </w:tc>
      </w:tr>
      <w:tr>
        <w:trPr/>
        <w:tc>
          <w:tcPr>
            <w:tcW w:w="4490" w:type="dxa"/>
            <w:tcBorders/>
            <w:vAlign w:val="center"/>
          </w:tcPr>
          <w:p>
            <w:pPr>
              <w:pStyle w:val="TableContents"/>
              <w:bidi w:val="0"/>
              <w:spacing w:before="0" w:after="283"/>
              <w:jc w:val="left"/>
              <w:rPr>
                <w:sz w:val="20"/>
              </w:rPr>
            </w:pPr>
            <w:r>
              <w:rPr>
                <w:sz w:val="20"/>
              </w:rPr>
              <w:t>EBITDA margin (% of net sales)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22.8</w:t>
            </w:r>
          </w:p>
        </w:tc>
        <w:tc>
          <w:tcPr>
            <w:tcW w:w="185"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23.8</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 </w:t>
            </w:r>
          </w:p>
        </w:tc>
        <w:tc>
          <w:tcPr>
            <w:tcW w:w="440" w:type="dxa"/>
            <w:tcBorders/>
            <w:vAlign w:val="center"/>
          </w:tcPr>
          <w:p>
            <w:pPr>
              <w:pStyle w:val="TableContents"/>
              <w:bidi w:val="0"/>
              <w:spacing w:before="0" w:after="283"/>
              <w:ind w:left="0" w:right="0" w:firstLine="180"/>
              <w:jc w:val="left"/>
              <w:rPr/>
            </w:pPr>
            <w:r>
              <w:rPr/>
              <w:t> </w:t>
            </w:r>
          </w:p>
        </w:tc>
      </w:tr>
      <w:tr>
        <w:trPr/>
        <w:tc>
          <w:tcPr>
            <w:tcW w:w="4490" w:type="dxa"/>
            <w:tcBorders/>
            <w:vAlign w:val="center"/>
          </w:tcPr>
          <w:p>
            <w:pPr>
              <w:pStyle w:val="TableContents"/>
              <w:bidi w:val="0"/>
              <w:spacing w:before="0" w:after="283"/>
              <w:jc w:val="left"/>
              <w:rPr>
                <w:sz w:val="20"/>
              </w:rPr>
            </w:pPr>
            <w:r>
              <w:rPr>
                <w:sz w:val="20"/>
              </w:rPr>
              <w:t>Weighted average shares outstanding (thousands)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1,009,956</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1,072,974</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 </w:t>
            </w:r>
          </w:p>
        </w:tc>
        <w:tc>
          <w:tcPr>
            <w:tcW w:w="440" w:type="dxa"/>
            <w:tcBorders/>
            <w:vAlign w:val="center"/>
          </w:tcPr>
          <w:p>
            <w:pPr>
              <w:pStyle w:val="TableContents"/>
              <w:bidi w:val="0"/>
              <w:spacing w:before="0" w:after="283"/>
              <w:ind w:left="0" w:right="0" w:firstLine="180"/>
              <w:jc w:val="left"/>
              <w:rPr/>
            </w:pPr>
            <w:r>
              <w:rPr/>
              <w:t> </w:t>
            </w:r>
          </w:p>
        </w:tc>
      </w:tr>
      <w:tr>
        <w:trPr/>
        <w:tc>
          <w:tcPr>
            <w:tcW w:w="4490" w:type="dxa"/>
            <w:tcBorders/>
            <w:vAlign w:val="center"/>
          </w:tcPr>
          <w:p>
            <w:pPr>
              <w:pStyle w:val="TableContents"/>
              <w:bidi w:val="0"/>
              <w:spacing w:before="0" w:after="283"/>
              <w:jc w:val="left"/>
              <w:rPr>
                <w:sz w:val="20"/>
              </w:rPr>
            </w:pPr>
            <w:r>
              <w:rPr>
                <w:sz w:val="20"/>
              </w:rPr>
              <w:t>Outstanding shares at the end of the period (thousands)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1,009,640</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1,058,901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 </w:t>
            </w:r>
          </w:p>
        </w:tc>
        <w:tc>
          <w:tcPr>
            <w:tcW w:w="4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 xml:space="preserve">Our sales in the first half of 2026 increased 1% compared to the first half of 2025 as volumes of tubular products shipped decreased 1% and tubes average selling prices increased 2% driven by price increases in North America while sales in the </w:t>
      </w:r>
      <w:r>
        <w:rPr>
          <w:i/>
          <w:sz w:val="20"/>
        </w:rPr>
        <w:t>Others</w:t>
      </w:r>
      <w:r>
        <w:rPr>
          <w:sz w:val="20"/>
        </w:rPr>
        <w:t xml:space="preserve"> segment increased 3%. EBITDA in the first half of 2026 was negatively affected by the impact of tariff costs in the United States. Earnings per share increased 4% following the reduction of outstanding shares due to the share buyback.</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Cash flow provided by operating activities amounted to $1.1 billion during the first half of 2026, net of an increase in working capital of $84 million. After capital expenditures of $236 million, our free cash flow amounted to $0.9 billion. Following a dividend payment of $606 million and share buybacks for $90 million in the semester, our net cash position amounted to $3.6 billion at the end of June 2026.</w:t>
      </w:r>
    </w:p>
    <w:p>
      <w:pPr>
        <w:pStyle w:val="TextBody"/>
        <w:bidi w:val="0"/>
        <w:spacing w:before="0" w:after="0"/>
        <w:ind w:left="0" w:right="0" w:hanging="0"/>
        <w:jc w:val="both"/>
        <w:rPr/>
      </w:pPr>
      <w:r>
        <w:rPr/>
        <w:t> </w:t>
      </w:r>
    </w:p>
    <w:p>
      <w:pPr>
        <w:pStyle w:val="TextBody"/>
        <w:bidi w:val="0"/>
        <w:spacing w:before="0" w:after="0"/>
        <w:ind w:left="0" w:right="0" w:hanging="0"/>
        <w:jc w:val="left"/>
        <w:rPr>
          <w:sz w:val="20"/>
        </w:rPr>
      </w:pPr>
      <w:r>
        <w:rPr>
          <w:sz w:val="20"/>
        </w:rPr>
        <w:t>The following table shows our net sales by business segment for the periods indicated below:</w:t>
      </w:r>
    </w:p>
    <w:p>
      <w:pPr>
        <w:pStyle w:val="TextBody"/>
        <w:bidi w:val="0"/>
        <w:spacing w:before="0" w:after="0"/>
        <w:ind w:left="0" w:right="0" w:hanging="0"/>
        <w:jc w:val="left"/>
        <w:rPr/>
      </w:pPr>
      <w:r>
        <w:rPr/>
        <w:t> </w:t>
      </w:r>
    </w:p>
    <w:tbl>
      <w:tblPr>
        <w:tblW w:w="6407" w:type="dxa"/>
        <w:jc w:val="left"/>
        <w:tblInd w:w="0" w:type="dxa"/>
        <w:tblLayout w:type="fixed"/>
        <w:tblCellMar>
          <w:top w:w="0" w:type="dxa"/>
          <w:left w:w="0" w:type="dxa"/>
          <w:bottom w:w="0" w:type="dxa"/>
          <w:right w:w="0" w:type="dxa"/>
        </w:tblCellMar>
      </w:tblPr>
      <w:tblGrid>
        <w:gridCol w:w="1881"/>
        <w:gridCol w:w="60"/>
        <w:gridCol w:w="60"/>
        <w:gridCol w:w="485"/>
        <w:gridCol w:w="60"/>
        <w:gridCol w:w="60"/>
        <w:gridCol w:w="230"/>
        <w:gridCol w:w="185"/>
        <w:gridCol w:w="60"/>
        <w:gridCol w:w="60"/>
        <w:gridCol w:w="485"/>
        <w:gridCol w:w="60"/>
        <w:gridCol w:w="60"/>
        <w:gridCol w:w="60"/>
        <w:gridCol w:w="230"/>
        <w:gridCol w:w="185"/>
        <w:gridCol w:w="60"/>
        <w:gridCol w:w="60"/>
        <w:gridCol w:w="1685"/>
        <w:gridCol w:w="381"/>
      </w:tblGrid>
      <w:tr>
        <w:trPr/>
        <w:tc>
          <w:tcPr>
            <w:tcW w:w="1881" w:type="dxa"/>
            <w:tcBorders/>
            <w:vAlign w:val="center"/>
          </w:tcPr>
          <w:p>
            <w:pPr>
              <w:pStyle w:val="TableContents"/>
              <w:bidi w:val="0"/>
              <w:spacing w:before="0" w:after="283"/>
              <w:ind w:left="0" w:right="0" w:firstLine="181"/>
              <w:jc w:val="left"/>
              <w:rPr>
                <w:b/>
                <w:sz w:val="20"/>
              </w:rPr>
            </w:pPr>
            <w:r>
              <w:rPr>
                <w:b/>
                <w:sz w:val="20"/>
              </w:rPr>
              <w:t>Net sales ($ million)</w:t>
            </w:r>
          </w:p>
        </w:tc>
        <w:tc>
          <w:tcPr>
            <w:tcW w:w="60" w:type="dxa"/>
            <w:tcBorders/>
            <w:vAlign w:val="center"/>
          </w:tcPr>
          <w:p>
            <w:pPr>
              <w:pStyle w:val="TableContents"/>
              <w:bidi w:val="0"/>
              <w:spacing w:before="0" w:after="283"/>
              <w:jc w:val="left"/>
              <w:rPr/>
            </w:pPr>
            <w:r>
              <w:rPr/>
              <w:t> </w:t>
            </w:r>
          </w:p>
        </w:tc>
        <w:tc>
          <w:tcPr>
            <w:tcW w:w="895" w:type="dxa"/>
            <w:gridSpan w:val="5"/>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6M 2026</w:t>
            </w:r>
          </w:p>
        </w:tc>
        <w:tc>
          <w:tcPr>
            <w:tcW w:w="185" w:type="dxa"/>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955" w:type="dxa"/>
            <w:gridSpan w:val="6"/>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6M 2025</w:t>
            </w:r>
          </w:p>
        </w:tc>
        <w:tc>
          <w:tcPr>
            <w:tcW w:w="1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16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Increase/(Decrease)</w:t>
            </w:r>
          </w:p>
        </w:tc>
        <w:tc>
          <w:tcPr>
            <w:tcW w:w="38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ind w:left="0" w:right="0" w:firstLine="180"/>
              <w:jc w:val="left"/>
              <w:rPr/>
            </w:pPr>
            <w:r>
              <w:rPr/>
              <w:t> </w:t>
            </w:r>
          </w:p>
        </w:tc>
      </w:tr>
      <w:tr>
        <w:trPr/>
        <w:tc>
          <w:tcPr>
            <w:tcW w:w="1881" w:type="dxa"/>
            <w:tcBorders/>
            <w:vAlign w:val="center"/>
          </w:tcPr>
          <w:p>
            <w:pPr>
              <w:pStyle w:val="TableContents"/>
              <w:bidi w:val="0"/>
              <w:spacing w:before="0" w:after="283"/>
              <w:jc w:val="left"/>
              <w:rPr>
                <w:sz w:val="20"/>
              </w:rPr>
            </w:pPr>
            <w:r>
              <w:rPr>
                <w:sz w:val="20"/>
              </w:rPr>
              <w:t>Tubes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sz w:val="20"/>
              </w:rPr>
            </w:pPr>
            <w:r>
              <w:rPr>
                <w:sz w:val="20"/>
              </w:rPr>
              <w:t>5,734</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30" w:type="dxa"/>
            <w:tcBorders/>
            <w:shd w:fill="F2F2F2" w:val="clear"/>
            <w:vAlign w:val="center"/>
          </w:tcPr>
          <w:p>
            <w:pPr>
              <w:pStyle w:val="TableContents"/>
              <w:bidi w:val="0"/>
              <w:spacing w:before="0" w:after="283"/>
              <w:jc w:val="right"/>
              <w:rPr>
                <w:sz w:val="20"/>
              </w:rPr>
            </w:pPr>
            <w:r>
              <w:rPr>
                <w:sz w:val="20"/>
              </w:rPr>
              <w:t>95</w:t>
            </w:r>
          </w:p>
        </w:tc>
        <w:tc>
          <w:tcPr>
            <w:tcW w:w="185"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5,686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95</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1</w:t>
            </w:r>
          </w:p>
        </w:tc>
        <w:tc>
          <w:tcPr>
            <w:tcW w:w="381" w:type="dxa"/>
            <w:tcBorders/>
            <w:vAlign w:val="center"/>
          </w:tcPr>
          <w:p>
            <w:pPr>
              <w:pStyle w:val="TableContents"/>
              <w:bidi w:val="0"/>
              <w:spacing w:before="0" w:after="283"/>
              <w:ind w:left="0" w:right="0" w:firstLine="180"/>
              <w:jc w:val="left"/>
              <w:rPr>
                <w:sz w:val="20"/>
              </w:rPr>
            </w:pPr>
            <w:r>
              <w:rPr>
                <w:sz w:val="20"/>
              </w:rPr>
              <w:t>%</w:t>
            </w:r>
          </w:p>
        </w:tc>
      </w:tr>
      <w:tr>
        <w:trPr/>
        <w:tc>
          <w:tcPr>
            <w:tcW w:w="1881" w:type="dxa"/>
            <w:tcBorders/>
            <w:vAlign w:val="center"/>
          </w:tcPr>
          <w:p>
            <w:pPr>
              <w:pStyle w:val="TableContents"/>
              <w:bidi w:val="0"/>
              <w:spacing w:before="0" w:after="283"/>
              <w:jc w:val="left"/>
              <w:rPr>
                <w:sz w:val="20"/>
              </w:rPr>
            </w:pPr>
            <w:r>
              <w:rPr>
                <w:sz w:val="20"/>
              </w:rPr>
              <w:t>Others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sz w:val="20"/>
              </w:rPr>
            </w:pPr>
            <w:r>
              <w:rPr>
                <w:sz w:val="20"/>
              </w:rPr>
              <w:t>333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30" w:type="dxa"/>
            <w:tcBorders/>
            <w:shd w:fill="F2F2F2" w:val="clear"/>
            <w:vAlign w:val="center"/>
          </w:tcPr>
          <w:p>
            <w:pPr>
              <w:pStyle w:val="TableContents"/>
              <w:bidi w:val="0"/>
              <w:spacing w:before="0" w:after="283"/>
              <w:jc w:val="right"/>
              <w:rPr>
                <w:sz w:val="20"/>
              </w:rPr>
            </w:pPr>
            <w:r>
              <w:rPr>
                <w:sz w:val="20"/>
              </w:rPr>
              <w:t>5</w:t>
            </w:r>
          </w:p>
        </w:tc>
        <w:tc>
          <w:tcPr>
            <w:tcW w:w="185"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sz w:val="20"/>
              </w:rPr>
            </w:pPr>
            <w:r>
              <w:rPr>
                <w:sz w:val="20"/>
              </w:rPr>
              <w:t>322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right"/>
              <w:rPr>
                <w:sz w:val="20"/>
              </w:rPr>
            </w:pPr>
            <w:r>
              <w:rPr>
                <w:sz w:val="20"/>
              </w:rPr>
              <w:t>5</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3</w:t>
            </w:r>
          </w:p>
        </w:tc>
        <w:tc>
          <w:tcPr>
            <w:tcW w:w="381" w:type="dxa"/>
            <w:tcBorders/>
            <w:vAlign w:val="center"/>
          </w:tcPr>
          <w:p>
            <w:pPr>
              <w:pStyle w:val="TableContents"/>
              <w:bidi w:val="0"/>
              <w:spacing w:before="0" w:after="283"/>
              <w:ind w:left="0" w:right="0" w:firstLine="181"/>
              <w:jc w:val="left"/>
              <w:rPr>
                <w:sz w:val="20"/>
              </w:rPr>
            </w:pPr>
            <w:r>
              <w:rPr>
                <w:sz w:val="20"/>
              </w:rPr>
              <w:t>%</w:t>
            </w:r>
          </w:p>
        </w:tc>
      </w:tr>
      <w:tr>
        <w:trPr/>
        <w:tc>
          <w:tcPr>
            <w:tcW w:w="1881" w:type="dxa"/>
            <w:tcBorders/>
            <w:vAlign w:val="center"/>
          </w:tcPr>
          <w:p>
            <w:pPr>
              <w:pStyle w:val="TableContents"/>
              <w:bidi w:val="0"/>
              <w:spacing w:before="0" w:after="283"/>
              <w:jc w:val="left"/>
              <w:rPr>
                <w:b/>
                <w:sz w:val="20"/>
              </w:rPr>
            </w:pPr>
            <w:r>
              <w:rPr>
                <w:b/>
                <w:sz w:val="20"/>
              </w:rPr>
              <w:t>Total</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485" w:type="dxa"/>
            <w:tcBorders/>
            <w:shd w:fill="F2F2F2" w:val="clear"/>
            <w:vAlign w:val="center"/>
          </w:tcPr>
          <w:p>
            <w:pPr>
              <w:pStyle w:val="TableContents"/>
              <w:bidi w:val="0"/>
              <w:spacing w:before="0" w:after="283"/>
              <w:jc w:val="right"/>
              <w:rPr>
                <w:b/>
                <w:sz w:val="20"/>
              </w:rPr>
            </w:pPr>
            <w:r>
              <w:rPr>
                <w:b/>
                <w:sz w:val="20"/>
              </w:rPr>
              <w:t>6,067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230" w:type="dxa"/>
            <w:tcBorders/>
            <w:shd w:fill="F2F2F2" w:val="clear"/>
            <w:vAlign w:val="center"/>
          </w:tcPr>
          <w:p>
            <w:pPr>
              <w:pStyle w:val="TableContents"/>
              <w:bidi w:val="0"/>
              <w:spacing w:before="0" w:after="283"/>
              <w:jc w:val="right"/>
              <w:rPr/>
            </w:pPr>
            <w:r>
              <w:rPr/>
              <w:t> </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b/>
                <w:sz w:val="20"/>
              </w:rPr>
            </w:pPr>
            <w:r>
              <w:rPr>
                <w:b/>
                <w:sz w:val="20"/>
              </w:rPr>
              <w:t>6,008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b/>
                <w:sz w:val="20"/>
              </w:rPr>
            </w:pPr>
            <w:r>
              <w:rPr>
                <w:b/>
                <w:sz w:val="20"/>
              </w:rPr>
              <w:t>1</w:t>
            </w:r>
          </w:p>
        </w:tc>
        <w:tc>
          <w:tcPr>
            <w:tcW w:w="381" w:type="dxa"/>
            <w:tcBorders/>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drawing>
          <wp:inline distT="0" distB="0" distL="0" distR="0">
            <wp:extent cx="198120" cy="1828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98120" cy="182880"/>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Tubes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following table indicates, for our Tubes business segment, sales volumes of seamless and welded pipes for the periods indicated below:</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824" w:type="dxa"/>
        <w:jc w:val="left"/>
        <w:tblInd w:w="0" w:type="dxa"/>
        <w:tblLayout w:type="fixed"/>
        <w:tblCellMar>
          <w:top w:w="0" w:type="dxa"/>
          <w:left w:w="0" w:type="dxa"/>
          <w:bottom w:w="0" w:type="dxa"/>
          <w:right w:w="0" w:type="dxa"/>
        </w:tblCellMar>
      </w:tblPr>
      <w:tblGrid>
        <w:gridCol w:w="3801"/>
        <w:gridCol w:w="60"/>
        <w:gridCol w:w="84"/>
        <w:gridCol w:w="685"/>
        <w:gridCol w:w="60"/>
        <w:gridCol w:w="60"/>
        <w:gridCol w:w="84"/>
        <w:gridCol w:w="685"/>
        <w:gridCol w:w="60"/>
        <w:gridCol w:w="60"/>
        <w:gridCol w:w="60"/>
        <w:gridCol w:w="1685"/>
        <w:gridCol w:w="440"/>
      </w:tblGrid>
      <w:tr>
        <w:trPr/>
        <w:tc>
          <w:tcPr>
            <w:tcW w:w="3801" w:type="dxa"/>
            <w:tcBorders/>
            <w:vAlign w:val="center"/>
          </w:tcPr>
          <w:p>
            <w:pPr>
              <w:pStyle w:val="TableContents"/>
              <w:bidi w:val="0"/>
              <w:spacing w:before="0" w:after="283"/>
              <w:ind w:left="0" w:right="0" w:firstLine="181"/>
              <w:jc w:val="left"/>
              <w:rPr>
                <w:b/>
                <w:sz w:val="20"/>
              </w:rPr>
            </w:pPr>
            <w:r>
              <w:rPr>
                <w:b/>
                <w:sz w:val="20"/>
              </w:rPr>
              <w:t>Tubes Sales volume (thousand metric tons)</w:t>
            </w:r>
          </w:p>
        </w:tc>
        <w:tc>
          <w:tcPr>
            <w:tcW w:w="60" w:type="dxa"/>
            <w:tcBorders/>
            <w:vAlign w:val="center"/>
          </w:tcPr>
          <w:p>
            <w:pPr>
              <w:pStyle w:val="TableContents"/>
              <w:bidi w:val="0"/>
              <w:spacing w:before="0" w:after="283"/>
              <w:jc w:val="left"/>
              <w:rPr/>
            </w:pPr>
            <w:r>
              <w:rPr/>
              <w:t> </w:t>
            </w:r>
          </w:p>
        </w:tc>
        <w:tc>
          <w:tcPr>
            <w:tcW w:w="769" w:type="dxa"/>
            <w:gridSpan w:val="2"/>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6M 2026</w:t>
            </w:r>
          </w:p>
        </w:tc>
        <w:tc>
          <w:tcPr>
            <w:tcW w:w="60" w:type="dxa"/>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769"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6M 2025</w:t>
            </w:r>
          </w:p>
        </w:tc>
        <w:tc>
          <w:tcPr>
            <w:tcW w:w="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16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Increase/(Decrease)</w:t>
            </w:r>
          </w:p>
        </w:tc>
        <w:tc>
          <w:tcPr>
            <w:tcW w:w="44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ind w:left="0" w:right="0" w:firstLine="180"/>
              <w:jc w:val="left"/>
              <w:rPr/>
            </w:pPr>
            <w:r>
              <w:rPr/>
              <w:t> </w:t>
            </w:r>
          </w:p>
        </w:tc>
      </w:tr>
      <w:tr>
        <w:trPr/>
        <w:tc>
          <w:tcPr>
            <w:tcW w:w="3801" w:type="dxa"/>
            <w:tcBorders/>
            <w:vAlign w:val="center"/>
          </w:tcPr>
          <w:p>
            <w:pPr>
              <w:pStyle w:val="TableContents"/>
              <w:bidi w:val="0"/>
              <w:spacing w:before="0" w:after="283"/>
              <w:jc w:val="left"/>
              <w:rPr>
                <w:sz w:val="20"/>
              </w:rPr>
            </w:pPr>
            <w:r>
              <w:rPr>
                <w:sz w:val="20"/>
              </w:rPr>
              <w:t>Seamless</w:t>
            </w:r>
          </w:p>
        </w:tc>
        <w:tc>
          <w:tcPr>
            <w:tcW w:w="60" w:type="dxa"/>
            <w:tcBorders/>
            <w:vAlign w:val="center"/>
          </w:tcPr>
          <w:p>
            <w:pPr>
              <w:pStyle w:val="TableContents"/>
              <w:bidi w:val="0"/>
              <w:spacing w:before="0" w:after="283"/>
              <w:jc w:val="left"/>
              <w:rPr/>
            </w:pPr>
            <w:r>
              <w:rPr/>
              <w:t> </w:t>
            </w:r>
          </w:p>
        </w:tc>
        <w:tc>
          <w:tcPr>
            <w:tcW w:w="84" w:type="dxa"/>
            <w:tcBorders/>
            <w:shd w:fill="F2F2F2" w:val="clear"/>
            <w:vAlign w:val="center"/>
          </w:tcPr>
          <w:p>
            <w:pPr>
              <w:pStyle w:val="TableContents"/>
              <w:bidi w:val="0"/>
              <w:spacing w:before="0" w:after="283"/>
              <w:jc w:val="left"/>
              <w:rPr/>
            </w:pPr>
            <w:r>
              <w:rPr/>
              <w:t> </w:t>
            </w:r>
          </w:p>
        </w:tc>
        <w:tc>
          <w:tcPr>
            <w:tcW w:w="685" w:type="dxa"/>
            <w:tcBorders/>
            <w:shd w:fill="F2F2F2" w:val="clear"/>
            <w:vAlign w:val="center"/>
          </w:tcPr>
          <w:p>
            <w:pPr>
              <w:pStyle w:val="TableContents"/>
              <w:bidi w:val="0"/>
              <w:spacing w:before="0" w:after="283"/>
              <w:jc w:val="right"/>
              <w:rPr>
                <w:sz w:val="20"/>
              </w:rPr>
            </w:pPr>
            <w:r>
              <w:rPr>
                <w:sz w:val="20"/>
              </w:rPr>
              <w:t>1,553</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20"/>
              </w:rPr>
            </w:pPr>
            <w:r>
              <w:rPr>
                <w:sz w:val="20"/>
              </w:rPr>
              <w:t>1,578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(2</w:t>
            </w:r>
          </w:p>
        </w:tc>
        <w:tc>
          <w:tcPr>
            <w:tcW w:w="440" w:type="dxa"/>
            <w:tcBorders/>
            <w:vAlign w:val="center"/>
          </w:tcPr>
          <w:p>
            <w:pPr>
              <w:pStyle w:val="TableContents"/>
              <w:bidi w:val="0"/>
              <w:spacing w:before="0" w:after="283"/>
              <w:ind w:left="0" w:right="0" w:firstLine="180"/>
              <w:jc w:val="left"/>
              <w:rPr>
                <w:sz w:val="20"/>
              </w:rPr>
            </w:pPr>
            <w:r>
              <w:rPr>
                <w:sz w:val="20"/>
              </w:rPr>
              <w:t>%)</w:t>
            </w:r>
          </w:p>
        </w:tc>
      </w:tr>
      <w:tr>
        <w:trPr/>
        <w:tc>
          <w:tcPr>
            <w:tcW w:w="3801" w:type="dxa"/>
            <w:tcBorders/>
            <w:vAlign w:val="center"/>
          </w:tcPr>
          <w:p>
            <w:pPr>
              <w:pStyle w:val="TableContents"/>
              <w:bidi w:val="0"/>
              <w:spacing w:before="0" w:after="283"/>
              <w:jc w:val="left"/>
              <w:rPr>
                <w:sz w:val="20"/>
              </w:rPr>
            </w:pPr>
            <w:r>
              <w:rPr>
                <w:sz w:val="20"/>
              </w:rPr>
              <w:t>Welded</w:t>
            </w:r>
          </w:p>
        </w:tc>
        <w:tc>
          <w:tcPr>
            <w:tcW w:w="60" w:type="dxa"/>
            <w:tcBorders/>
            <w:vAlign w:val="center"/>
          </w:tcPr>
          <w:p>
            <w:pPr>
              <w:pStyle w:val="TableContents"/>
              <w:bidi w:val="0"/>
              <w:spacing w:before="0" w:after="283"/>
              <w:jc w:val="left"/>
              <w:rPr/>
            </w:pPr>
            <w:r>
              <w:rPr/>
              <w:t> </w:t>
            </w:r>
          </w:p>
        </w:tc>
        <w:tc>
          <w:tcPr>
            <w:tcW w:w="84" w:type="dxa"/>
            <w:tcBorders/>
            <w:shd w:fill="F2F2F2" w:val="clear"/>
            <w:vAlign w:val="center"/>
          </w:tcPr>
          <w:p>
            <w:pPr>
              <w:pStyle w:val="TableContents"/>
              <w:bidi w:val="0"/>
              <w:spacing w:before="0" w:after="283"/>
              <w:jc w:val="left"/>
              <w:rPr/>
            </w:pPr>
            <w:r>
              <w:rPr/>
              <w:t> </w:t>
            </w:r>
          </w:p>
        </w:tc>
        <w:tc>
          <w:tcPr>
            <w:tcW w:w="685" w:type="dxa"/>
            <w:tcBorders/>
            <w:shd w:fill="F2F2F2" w:val="clear"/>
            <w:vAlign w:val="center"/>
          </w:tcPr>
          <w:p>
            <w:pPr>
              <w:pStyle w:val="TableContents"/>
              <w:bidi w:val="0"/>
              <w:spacing w:before="0" w:after="283"/>
              <w:jc w:val="right"/>
              <w:rPr>
                <w:sz w:val="20"/>
              </w:rPr>
            </w:pPr>
            <w:r>
              <w:rPr>
                <w:sz w:val="20"/>
              </w:rPr>
              <w:t>389</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20"/>
              </w:rPr>
            </w:pPr>
            <w:r>
              <w:rPr>
                <w:sz w:val="20"/>
              </w:rPr>
              <w:t>390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0</w:t>
            </w:r>
          </w:p>
        </w:tc>
        <w:tc>
          <w:tcPr>
            <w:tcW w:w="440" w:type="dxa"/>
            <w:tcBorders/>
            <w:vAlign w:val="center"/>
          </w:tcPr>
          <w:p>
            <w:pPr>
              <w:pStyle w:val="TableContents"/>
              <w:bidi w:val="0"/>
              <w:spacing w:before="0" w:after="283"/>
              <w:ind w:left="0" w:right="0" w:firstLine="181"/>
              <w:jc w:val="left"/>
              <w:rPr>
                <w:sz w:val="20"/>
              </w:rPr>
            </w:pPr>
            <w:r>
              <w:rPr>
                <w:sz w:val="20"/>
              </w:rPr>
              <w:t>%</w:t>
            </w:r>
          </w:p>
        </w:tc>
      </w:tr>
      <w:tr>
        <w:trPr/>
        <w:tc>
          <w:tcPr>
            <w:tcW w:w="3801" w:type="dxa"/>
            <w:tcBorders/>
            <w:vAlign w:val="center"/>
          </w:tcPr>
          <w:p>
            <w:pPr>
              <w:pStyle w:val="TableContents"/>
              <w:bidi w:val="0"/>
              <w:spacing w:before="0" w:after="283"/>
              <w:jc w:val="left"/>
              <w:rPr>
                <w:b/>
                <w:sz w:val="20"/>
              </w:rPr>
            </w:pPr>
            <w:r>
              <w:rPr>
                <w:b/>
                <w:sz w:val="20"/>
              </w:rPr>
              <w:t>Total</w:t>
            </w:r>
          </w:p>
        </w:tc>
        <w:tc>
          <w:tcPr>
            <w:tcW w:w="60" w:type="dxa"/>
            <w:tcBorders/>
            <w:vAlign w:val="center"/>
          </w:tcPr>
          <w:p>
            <w:pPr>
              <w:pStyle w:val="TableContents"/>
              <w:bidi w:val="0"/>
              <w:spacing w:before="0" w:after="283"/>
              <w:jc w:val="left"/>
              <w:rPr/>
            </w:pPr>
            <w:r>
              <w:rPr/>
              <w:t> </w:t>
            </w:r>
          </w:p>
        </w:tc>
        <w:tc>
          <w:tcPr>
            <w:tcW w:w="84" w:type="dxa"/>
            <w:tcBorders/>
            <w:shd w:fill="F2F2F2" w:val="clear"/>
            <w:vAlign w:val="center"/>
          </w:tcPr>
          <w:p>
            <w:pPr>
              <w:pStyle w:val="TableContents"/>
              <w:bidi w:val="0"/>
              <w:spacing w:before="0" w:after="283"/>
              <w:jc w:val="left"/>
              <w:rPr/>
            </w:pPr>
            <w:r>
              <w:rPr/>
              <w:t> </w:t>
            </w:r>
          </w:p>
        </w:tc>
        <w:tc>
          <w:tcPr>
            <w:tcW w:w="685" w:type="dxa"/>
            <w:tcBorders/>
            <w:shd w:fill="F2F2F2" w:val="clear"/>
            <w:vAlign w:val="center"/>
          </w:tcPr>
          <w:p>
            <w:pPr>
              <w:pStyle w:val="TableContents"/>
              <w:bidi w:val="0"/>
              <w:spacing w:before="0" w:after="283"/>
              <w:jc w:val="right"/>
              <w:rPr>
                <w:b/>
                <w:sz w:val="20"/>
              </w:rPr>
            </w:pPr>
            <w:r>
              <w:rPr>
                <w:b/>
                <w:sz w:val="20"/>
              </w:rPr>
              <w:t>1,942</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b/>
                <w:sz w:val="20"/>
              </w:rPr>
            </w:pPr>
            <w:r>
              <w:rPr>
                <w:b/>
                <w:sz w:val="20"/>
              </w:rPr>
              <w:t>1,969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b/>
                <w:sz w:val="20"/>
              </w:rPr>
            </w:pPr>
            <w:r>
              <w:rPr>
                <w:b/>
                <w:sz w:val="20"/>
              </w:rPr>
              <w:t>(1</w:t>
            </w:r>
          </w:p>
        </w:tc>
        <w:tc>
          <w:tcPr>
            <w:tcW w:w="440" w:type="dxa"/>
            <w:tcBorders/>
            <w:vAlign w:val="center"/>
          </w:tcPr>
          <w:p>
            <w:pPr>
              <w:pStyle w:val="TableContents"/>
              <w:bidi w:val="0"/>
              <w:spacing w:before="0" w:after="283"/>
              <w:jc w:val="left"/>
              <w:rPr>
                <w:b/>
                <w:sz w:val="20"/>
              </w:rPr>
            </w:pPr>
            <w:r>
              <w:rPr>
                <w:b/>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table indicates, for our Tubes business segment, net sales by geographic region, operating income and operating income as a percentage of net sales for the periods indicated below:</w:t>
      </w:r>
    </w:p>
    <w:p>
      <w:pPr>
        <w:pStyle w:val="TextBody"/>
        <w:bidi w:val="0"/>
        <w:spacing w:before="0" w:after="0"/>
        <w:ind w:left="0" w:right="0" w:hanging="0"/>
        <w:jc w:val="left"/>
        <w:rPr/>
      </w:pPr>
      <w:r>
        <w:rPr/>
        <w:t> </w:t>
      </w:r>
    </w:p>
    <w:tbl>
      <w:tblPr>
        <w:tblW w:w="8464" w:type="dxa"/>
        <w:jc w:val="left"/>
        <w:tblInd w:w="0" w:type="dxa"/>
        <w:tblLayout w:type="fixed"/>
        <w:tblCellMar>
          <w:top w:w="0" w:type="dxa"/>
          <w:left w:w="0" w:type="dxa"/>
          <w:bottom w:w="0" w:type="dxa"/>
          <w:right w:w="0" w:type="dxa"/>
        </w:tblCellMar>
      </w:tblPr>
      <w:tblGrid>
        <w:gridCol w:w="4160"/>
        <w:gridCol w:w="60"/>
        <w:gridCol w:w="84"/>
        <w:gridCol w:w="685"/>
        <w:gridCol w:w="185"/>
        <w:gridCol w:w="60"/>
        <w:gridCol w:w="84"/>
        <w:gridCol w:w="685"/>
        <w:gridCol w:w="185"/>
        <w:gridCol w:w="60"/>
        <w:gridCol w:w="60"/>
        <w:gridCol w:w="1685"/>
        <w:gridCol w:w="471"/>
      </w:tblGrid>
      <w:tr>
        <w:trPr/>
        <w:tc>
          <w:tcPr>
            <w:tcW w:w="4160" w:type="dxa"/>
            <w:tcBorders/>
            <w:vAlign w:val="center"/>
          </w:tcPr>
          <w:p>
            <w:pPr>
              <w:pStyle w:val="TableContents"/>
              <w:bidi w:val="0"/>
              <w:spacing w:before="0" w:after="283"/>
              <w:ind w:left="0" w:right="0" w:firstLine="181"/>
              <w:jc w:val="left"/>
              <w:rPr>
                <w:b/>
                <w:sz w:val="20"/>
              </w:rPr>
            </w:pPr>
            <w:r>
              <w:rPr>
                <w:b/>
                <w:sz w:val="20"/>
              </w:rPr>
              <w:t>Tubes</w:t>
            </w:r>
          </w:p>
        </w:tc>
        <w:tc>
          <w:tcPr>
            <w:tcW w:w="60" w:type="dxa"/>
            <w:tcBorders/>
            <w:vAlign w:val="center"/>
          </w:tcPr>
          <w:p>
            <w:pPr>
              <w:pStyle w:val="TableContents"/>
              <w:bidi w:val="0"/>
              <w:spacing w:before="0" w:after="283"/>
              <w:jc w:val="left"/>
              <w:rPr/>
            </w:pPr>
            <w:r>
              <w:rPr/>
              <w:t> </w:t>
            </w:r>
          </w:p>
        </w:tc>
        <w:tc>
          <w:tcPr>
            <w:tcW w:w="769" w:type="dxa"/>
            <w:gridSpan w:val="2"/>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6M 2026</w:t>
            </w:r>
          </w:p>
        </w:tc>
        <w:tc>
          <w:tcPr>
            <w:tcW w:w="185" w:type="dxa"/>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769"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6M 2025</w:t>
            </w:r>
          </w:p>
        </w:tc>
        <w:tc>
          <w:tcPr>
            <w:tcW w:w="1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16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b/>
                <w:sz w:val="20"/>
              </w:rPr>
            </w:pPr>
            <w:r>
              <w:rPr>
                <w:b/>
                <w:sz w:val="20"/>
              </w:rPr>
              <w:t>Increase/(Decrease)</w:t>
            </w:r>
          </w:p>
        </w:tc>
        <w:tc>
          <w:tcPr>
            <w:tcW w:w="47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ind w:left="0" w:right="0" w:firstLine="180"/>
              <w:jc w:val="left"/>
              <w:rPr/>
            </w:pPr>
            <w:r>
              <w:rPr/>
              <w:t> </w:t>
            </w:r>
          </w:p>
        </w:tc>
      </w:tr>
      <w:tr>
        <w:trPr/>
        <w:tc>
          <w:tcPr>
            <w:tcW w:w="4160" w:type="dxa"/>
            <w:tcBorders/>
            <w:vAlign w:val="center"/>
          </w:tcPr>
          <w:p>
            <w:pPr>
              <w:pStyle w:val="TableContents"/>
              <w:bidi w:val="0"/>
              <w:spacing w:before="0" w:after="283"/>
              <w:jc w:val="left"/>
              <w:rPr>
                <w:sz w:val="20"/>
              </w:rPr>
            </w:pPr>
            <w:r>
              <w:rPr>
                <w:sz w:val="20"/>
              </w:rPr>
              <w:t>(Net sales - $ million)</w:t>
            </w:r>
          </w:p>
        </w:tc>
        <w:tc>
          <w:tcPr>
            <w:tcW w:w="60" w:type="dxa"/>
            <w:tcBorders/>
            <w:vAlign w:val="center"/>
          </w:tcPr>
          <w:p>
            <w:pPr>
              <w:pStyle w:val="TableContents"/>
              <w:bidi w:val="0"/>
              <w:spacing w:before="0" w:after="283"/>
              <w:jc w:val="left"/>
              <w:rPr/>
            </w:pPr>
            <w:r>
              <w:rPr/>
              <w:t> </w:t>
            </w:r>
          </w:p>
        </w:tc>
        <w:tc>
          <w:tcPr>
            <w:tcW w:w="84" w:type="dxa"/>
            <w:tcBorders/>
            <w:shd w:fill="F2F2F2" w:val="clear"/>
            <w:vAlign w:val="center"/>
          </w:tcPr>
          <w:p>
            <w:pPr>
              <w:pStyle w:val="TableContents"/>
              <w:bidi w:val="0"/>
              <w:spacing w:before="0" w:after="283"/>
              <w:jc w:val="left"/>
              <w:rPr/>
            </w:pPr>
            <w:r>
              <w:rPr/>
              <w:t> </w:t>
            </w:r>
          </w:p>
        </w:tc>
        <w:tc>
          <w:tcPr>
            <w:tcW w:w="685" w:type="dxa"/>
            <w:tcBorders/>
            <w:shd w:fill="F2F2F2" w:val="clear"/>
            <w:vAlign w:val="center"/>
          </w:tcPr>
          <w:p>
            <w:pPr>
              <w:pStyle w:val="TableContents"/>
              <w:bidi w:val="0"/>
              <w:spacing w:before="0" w:after="283"/>
              <w:jc w:val="right"/>
              <w:rPr/>
            </w:pPr>
            <w:r>
              <w:rPr/>
              <w:t> </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 </w:t>
            </w:r>
          </w:p>
        </w:tc>
        <w:tc>
          <w:tcPr>
            <w:tcW w:w="471" w:type="dxa"/>
            <w:tcBorders/>
            <w:vAlign w:val="center"/>
          </w:tcPr>
          <w:p>
            <w:pPr>
              <w:pStyle w:val="TableContents"/>
              <w:bidi w:val="0"/>
              <w:spacing w:before="0" w:after="283"/>
              <w:ind w:left="0" w:right="0" w:firstLine="180"/>
              <w:jc w:val="left"/>
              <w:rPr/>
            </w:pPr>
            <w:r>
              <w:rPr/>
              <w:t> </w:t>
            </w:r>
          </w:p>
        </w:tc>
      </w:tr>
      <w:tr>
        <w:trPr/>
        <w:tc>
          <w:tcPr>
            <w:tcW w:w="4160" w:type="dxa"/>
            <w:tcBorders/>
            <w:vAlign w:val="center"/>
          </w:tcPr>
          <w:p>
            <w:pPr>
              <w:pStyle w:val="TableContents"/>
              <w:bidi w:val="0"/>
              <w:spacing w:before="0" w:after="283"/>
              <w:jc w:val="left"/>
              <w:rPr>
                <w:sz w:val="20"/>
              </w:rPr>
            </w:pPr>
            <w:r>
              <w:rPr>
                <w:sz w:val="20"/>
              </w:rPr>
              <w:t>North America</w:t>
            </w:r>
          </w:p>
        </w:tc>
        <w:tc>
          <w:tcPr>
            <w:tcW w:w="60" w:type="dxa"/>
            <w:tcBorders/>
            <w:vAlign w:val="center"/>
          </w:tcPr>
          <w:p>
            <w:pPr>
              <w:pStyle w:val="TableContents"/>
              <w:bidi w:val="0"/>
              <w:spacing w:before="0" w:after="283"/>
              <w:jc w:val="left"/>
              <w:rPr/>
            </w:pPr>
            <w:r>
              <w:rPr/>
              <w:t> </w:t>
            </w:r>
          </w:p>
        </w:tc>
        <w:tc>
          <w:tcPr>
            <w:tcW w:w="84" w:type="dxa"/>
            <w:tcBorders/>
            <w:shd w:fill="F2F2F2" w:val="clear"/>
            <w:vAlign w:val="center"/>
          </w:tcPr>
          <w:p>
            <w:pPr>
              <w:pStyle w:val="TableContents"/>
              <w:bidi w:val="0"/>
              <w:spacing w:before="0" w:after="283"/>
              <w:jc w:val="left"/>
              <w:rPr/>
            </w:pPr>
            <w:r>
              <w:rPr/>
              <w:t> </w:t>
            </w:r>
          </w:p>
        </w:tc>
        <w:tc>
          <w:tcPr>
            <w:tcW w:w="685" w:type="dxa"/>
            <w:tcBorders/>
            <w:shd w:fill="F2F2F2" w:val="clear"/>
            <w:vAlign w:val="center"/>
          </w:tcPr>
          <w:p>
            <w:pPr>
              <w:pStyle w:val="TableContents"/>
              <w:bidi w:val="0"/>
              <w:spacing w:before="0" w:after="283"/>
              <w:jc w:val="right"/>
              <w:rPr>
                <w:sz w:val="20"/>
              </w:rPr>
            </w:pPr>
            <w:r>
              <w:rPr>
                <w:sz w:val="20"/>
              </w:rPr>
              <w:t>2,945</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20"/>
              </w:rPr>
            </w:pPr>
            <w:r>
              <w:rPr>
                <w:sz w:val="20"/>
              </w:rPr>
              <w:t>2,648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11</w:t>
            </w:r>
          </w:p>
        </w:tc>
        <w:tc>
          <w:tcPr>
            <w:tcW w:w="471" w:type="dxa"/>
            <w:tcBorders/>
            <w:vAlign w:val="center"/>
          </w:tcPr>
          <w:p>
            <w:pPr>
              <w:pStyle w:val="TableContents"/>
              <w:bidi w:val="0"/>
              <w:spacing w:before="0" w:after="283"/>
              <w:ind w:left="0" w:right="0" w:firstLine="180"/>
              <w:jc w:val="left"/>
              <w:rPr>
                <w:sz w:val="20"/>
              </w:rPr>
            </w:pPr>
            <w:r>
              <w:rPr>
                <w:sz w:val="20"/>
              </w:rPr>
              <w:t>%</w:t>
            </w:r>
          </w:p>
        </w:tc>
      </w:tr>
      <w:tr>
        <w:trPr/>
        <w:tc>
          <w:tcPr>
            <w:tcW w:w="4160" w:type="dxa"/>
            <w:tcBorders/>
            <w:vAlign w:val="center"/>
          </w:tcPr>
          <w:p>
            <w:pPr>
              <w:pStyle w:val="TableContents"/>
              <w:bidi w:val="0"/>
              <w:spacing w:before="0" w:after="283"/>
              <w:jc w:val="left"/>
              <w:rPr>
                <w:sz w:val="20"/>
              </w:rPr>
            </w:pPr>
            <w:r>
              <w:rPr>
                <w:sz w:val="20"/>
              </w:rPr>
              <w:t>South America</w:t>
            </w:r>
          </w:p>
        </w:tc>
        <w:tc>
          <w:tcPr>
            <w:tcW w:w="60" w:type="dxa"/>
            <w:tcBorders/>
            <w:vAlign w:val="center"/>
          </w:tcPr>
          <w:p>
            <w:pPr>
              <w:pStyle w:val="TableContents"/>
              <w:bidi w:val="0"/>
              <w:spacing w:before="0" w:after="283"/>
              <w:jc w:val="left"/>
              <w:rPr/>
            </w:pPr>
            <w:r>
              <w:rPr/>
              <w:t> </w:t>
            </w:r>
          </w:p>
        </w:tc>
        <w:tc>
          <w:tcPr>
            <w:tcW w:w="84" w:type="dxa"/>
            <w:tcBorders/>
            <w:shd w:fill="F2F2F2" w:val="clear"/>
            <w:vAlign w:val="center"/>
          </w:tcPr>
          <w:p>
            <w:pPr>
              <w:pStyle w:val="TableContents"/>
              <w:bidi w:val="0"/>
              <w:spacing w:before="0" w:after="283"/>
              <w:jc w:val="left"/>
              <w:rPr/>
            </w:pPr>
            <w:r>
              <w:rPr/>
              <w:t> </w:t>
            </w:r>
          </w:p>
        </w:tc>
        <w:tc>
          <w:tcPr>
            <w:tcW w:w="685" w:type="dxa"/>
            <w:tcBorders/>
            <w:shd w:fill="F2F2F2" w:val="clear"/>
            <w:vAlign w:val="center"/>
          </w:tcPr>
          <w:p>
            <w:pPr>
              <w:pStyle w:val="TableContents"/>
              <w:bidi w:val="0"/>
              <w:spacing w:before="0" w:after="283"/>
              <w:jc w:val="right"/>
              <w:rPr>
                <w:sz w:val="20"/>
              </w:rPr>
            </w:pPr>
            <w:r>
              <w:rPr>
                <w:sz w:val="20"/>
              </w:rPr>
              <w:t>1,039</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20"/>
              </w:rPr>
            </w:pPr>
            <w:r>
              <w:rPr>
                <w:sz w:val="20"/>
              </w:rPr>
              <w:t>1,083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(4</w:t>
            </w:r>
          </w:p>
        </w:tc>
        <w:tc>
          <w:tcPr>
            <w:tcW w:w="471" w:type="dxa"/>
            <w:tcBorders/>
            <w:vAlign w:val="center"/>
          </w:tcPr>
          <w:p>
            <w:pPr>
              <w:pStyle w:val="TableContents"/>
              <w:bidi w:val="0"/>
              <w:spacing w:before="0" w:after="283"/>
              <w:ind w:left="0" w:right="0" w:firstLine="180"/>
              <w:jc w:val="left"/>
              <w:rPr>
                <w:sz w:val="20"/>
              </w:rPr>
            </w:pPr>
            <w:r>
              <w:rPr>
                <w:sz w:val="20"/>
              </w:rPr>
              <w:t>%)</w:t>
            </w:r>
          </w:p>
        </w:tc>
      </w:tr>
      <w:tr>
        <w:trPr/>
        <w:tc>
          <w:tcPr>
            <w:tcW w:w="4160" w:type="dxa"/>
            <w:tcBorders/>
            <w:vAlign w:val="center"/>
          </w:tcPr>
          <w:p>
            <w:pPr>
              <w:pStyle w:val="TableContents"/>
              <w:bidi w:val="0"/>
              <w:spacing w:before="0" w:after="283"/>
              <w:jc w:val="left"/>
              <w:rPr>
                <w:sz w:val="20"/>
              </w:rPr>
            </w:pPr>
            <w:r>
              <w:rPr>
                <w:sz w:val="20"/>
              </w:rPr>
              <w:t>Europe</w:t>
            </w:r>
          </w:p>
        </w:tc>
        <w:tc>
          <w:tcPr>
            <w:tcW w:w="60" w:type="dxa"/>
            <w:tcBorders/>
            <w:vAlign w:val="center"/>
          </w:tcPr>
          <w:p>
            <w:pPr>
              <w:pStyle w:val="TableContents"/>
              <w:bidi w:val="0"/>
              <w:spacing w:before="0" w:after="283"/>
              <w:jc w:val="left"/>
              <w:rPr/>
            </w:pPr>
            <w:r>
              <w:rPr/>
              <w:t> </w:t>
            </w:r>
          </w:p>
        </w:tc>
        <w:tc>
          <w:tcPr>
            <w:tcW w:w="84" w:type="dxa"/>
            <w:tcBorders/>
            <w:shd w:fill="F2F2F2" w:val="clear"/>
            <w:vAlign w:val="center"/>
          </w:tcPr>
          <w:p>
            <w:pPr>
              <w:pStyle w:val="TableContents"/>
              <w:bidi w:val="0"/>
              <w:spacing w:before="0" w:after="283"/>
              <w:jc w:val="left"/>
              <w:rPr/>
            </w:pPr>
            <w:r>
              <w:rPr/>
              <w:t> </w:t>
            </w:r>
          </w:p>
        </w:tc>
        <w:tc>
          <w:tcPr>
            <w:tcW w:w="685" w:type="dxa"/>
            <w:tcBorders/>
            <w:shd w:fill="F2F2F2" w:val="clear"/>
            <w:vAlign w:val="center"/>
          </w:tcPr>
          <w:p>
            <w:pPr>
              <w:pStyle w:val="TableContents"/>
              <w:bidi w:val="0"/>
              <w:spacing w:before="0" w:after="283"/>
              <w:jc w:val="right"/>
              <w:rPr>
                <w:sz w:val="20"/>
              </w:rPr>
            </w:pPr>
            <w:r>
              <w:rPr>
                <w:sz w:val="20"/>
              </w:rPr>
              <w:t>481</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20"/>
              </w:rPr>
            </w:pPr>
            <w:r>
              <w:rPr>
                <w:sz w:val="20"/>
              </w:rPr>
              <w:t>423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14</w:t>
            </w:r>
          </w:p>
        </w:tc>
        <w:tc>
          <w:tcPr>
            <w:tcW w:w="471" w:type="dxa"/>
            <w:tcBorders/>
            <w:vAlign w:val="center"/>
          </w:tcPr>
          <w:p>
            <w:pPr>
              <w:pStyle w:val="TableContents"/>
              <w:bidi w:val="0"/>
              <w:spacing w:before="0" w:after="283"/>
              <w:ind w:left="0" w:right="0" w:firstLine="180"/>
              <w:jc w:val="left"/>
              <w:rPr>
                <w:sz w:val="20"/>
              </w:rPr>
            </w:pPr>
            <w:r>
              <w:rPr>
                <w:sz w:val="20"/>
              </w:rPr>
              <w:t>%</w:t>
            </w:r>
          </w:p>
        </w:tc>
      </w:tr>
      <w:tr>
        <w:trPr/>
        <w:tc>
          <w:tcPr>
            <w:tcW w:w="4160" w:type="dxa"/>
            <w:tcBorders/>
            <w:vAlign w:val="center"/>
          </w:tcPr>
          <w:p>
            <w:pPr>
              <w:pStyle w:val="TableContents"/>
              <w:bidi w:val="0"/>
              <w:spacing w:before="0" w:after="283"/>
              <w:jc w:val="left"/>
              <w:rPr>
                <w:sz w:val="20"/>
              </w:rPr>
            </w:pPr>
            <w:r>
              <w:rPr>
                <w:sz w:val="20"/>
              </w:rPr>
              <w:t>Asia Pacific, Middle East and Africa</w:t>
            </w:r>
          </w:p>
        </w:tc>
        <w:tc>
          <w:tcPr>
            <w:tcW w:w="60" w:type="dxa"/>
            <w:tcBorders/>
            <w:vAlign w:val="center"/>
          </w:tcPr>
          <w:p>
            <w:pPr>
              <w:pStyle w:val="TableContents"/>
              <w:bidi w:val="0"/>
              <w:spacing w:before="0" w:after="283"/>
              <w:jc w:val="left"/>
              <w:rPr/>
            </w:pPr>
            <w:r>
              <w:rPr/>
              <w:t> </w:t>
            </w:r>
          </w:p>
        </w:tc>
        <w:tc>
          <w:tcPr>
            <w:tcW w:w="84" w:type="dxa"/>
            <w:tcBorders/>
            <w:shd w:fill="F2F2F2" w:val="clear"/>
            <w:vAlign w:val="center"/>
          </w:tcPr>
          <w:p>
            <w:pPr>
              <w:pStyle w:val="TableContents"/>
              <w:bidi w:val="0"/>
              <w:spacing w:before="0" w:after="283"/>
              <w:jc w:val="left"/>
              <w:rPr/>
            </w:pPr>
            <w:r>
              <w:rPr/>
              <w:t> </w:t>
            </w:r>
          </w:p>
        </w:tc>
        <w:tc>
          <w:tcPr>
            <w:tcW w:w="685" w:type="dxa"/>
            <w:tcBorders/>
            <w:shd w:fill="F2F2F2" w:val="clear"/>
            <w:vAlign w:val="center"/>
          </w:tcPr>
          <w:p>
            <w:pPr>
              <w:pStyle w:val="TableContents"/>
              <w:bidi w:val="0"/>
              <w:spacing w:before="0" w:after="283"/>
              <w:jc w:val="right"/>
              <w:rPr>
                <w:sz w:val="20"/>
              </w:rPr>
            </w:pPr>
            <w:r>
              <w:rPr>
                <w:sz w:val="20"/>
              </w:rPr>
              <w:t>1,269</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20"/>
              </w:rPr>
            </w:pPr>
            <w:r>
              <w:rPr>
                <w:sz w:val="20"/>
              </w:rPr>
              <w:t>1,532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(17</w:t>
            </w:r>
          </w:p>
        </w:tc>
        <w:tc>
          <w:tcPr>
            <w:tcW w:w="471" w:type="dxa"/>
            <w:tcBorders/>
            <w:vAlign w:val="center"/>
          </w:tcPr>
          <w:p>
            <w:pPr>
              <w:pStyle w:val="TableContents"/>
              <w:bidi w:val="0"/>
              <w:spacing w:before="0" w:after="283"/>
              <w:ind w:left="0" w:right="0" w:firstLine="181"/>
              <w:jc w:val="left"/>
              <w:rPr>
                <w:sz w:val="20"/>
              </w:rPr>
            </w:pPr>
            <w:r>
              <w:rPr>
                <w:sz w:val="20"/>
              </w:rPr>
              <w:t>%)</w:t>
            </w:r>
          </w:p>
        </w:tc>
      </w:tr>
      <w:tr>
        <w:trPr/>
        <w:tc>
          <w:tcPr>
            <w:tcW w:w="4160" w:type="dxa"/>
            <w:tcBorders/>
            <w:vAlign w:val="center"/>
          </w:tcPr>
          <w:p>
            <w:pPr>
              <w:pStyle w:val="TableContents"/>
              <w:bidi w:val="0"/>
              <w:spacing w:before="0" w:after="283"/>
              <w:jc w:val="left"/>
              <w:rPr>
                <w:b/>
                <w:sz w:val="20"/>
              </w:rPr>
            </w:pPr>
            <w:r>
              <w:rPr>
                <w:b/>
                <w:sz w:val="20"/>
              </w:rPr>
              <w:t>Total net sales ($ million)</w:t>
            </w:r>
          </w:p>
        </w:tc>
        <w:tc>
          <w:tcPr>
            <w:tcW w:w="60" w:type="dxa"/>
            <w:tcBorders/>
            <w:vAlign w:val="center"/>
          </w:tcPr>
          <w:p>
            <w:pPr>
              <w:pStyle w:val="TableContents"/>
              <w:bidi w:val="0"/>
              <w:spacing w:before="0" w:after="283"/>
              <w:jc w:val="left"/>
              <w:rPr/>
            </w:pPr>
            <w:r>
              <w:rPr/>
              <w:t> </w:t>
            </w:r>
          </w:p>
        </w:tc>
        <w:tc>
          <w:tcPr>
            <w:tcW w:w="84" w:type="dxa"/>
            <w:tcBorders/>
            <w:shd w:fill="F2F2F2" w:val="clear"/>
            <w:vAlign w:val="center"/>
          </w:tcPr>
          <w:p>
            <w:pPr>
              <w:pStyle w:val="TableContents"/>
              <w:bidi w:val="0"/>
              <w:spacing w:before="0" w:after="283"/>
              <w:jc w:val="left"/>
              <w:rPr/>
            </w:pPr>
            <w:r>
              <w:rPr/>
              <w:t> </w:t>
            </w:r>
          </w:p>
        </w:tc>
        <w:tc>
          <w:tcPr>
            <w:tcW w:w="685" w:type="dxa"/>
            <w:tcBorders/>
            <w:shd w:fill="F2F2F2" w:val="clear"/>
            <w:vAlign w:val="center"/>
          </w:tcPr>
          <w:p>
            <w:pPr>
              <w:pStyle w:val="TableContents"/>
              <w:bidi w:val="0"/>
              <w:spacing w:before="0" w:after="283"/>
              <w:jc w:val="right"/>
              <w:rPr>
                <w:b/>
                <w:sz w:val="20"/>
              </w:rPr>
            </w:pPr>
            <w:r>
              <w:rPr>
                <w:b/>
                <w:sz w:val="20"/>
              </w:rPr>
              <w:t>5,734</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b/>
                <w:sz w:val="20"/>
              </w:rPr>
            </w:pPr>
            <w:r>
              <w:rPr>
                <w:b/>
                <w:sz w:val="20"/>
              </w:rPr>
              <w:t>5,686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b/>
                <w:sz w:val="20"/>
              </w:rPr>
            </w:pPr>
            <w:r>
              <w:rPr>
                <w:b/>
                <w:sz w:val="20"/>
              </w:rPr>
              <w:t>1</w:t>
            </w:r>
          </w:p>
        </w:tc>
        <w:tc>
          <w:tcPr>
            <w:tcW w:w="471" w:type="dxa"/>
            <w:tcBorders/>
            <w:vAlign w:val="center"/>
          </w:tcPr>
          <w:p>
            <w:pPr>
              <w:pStyle w:val="TableContents"/>
              <w:bidi w:val="0"/>
              <w:spacing w:before="0" w:after="283"/>
              <w:ind w:left="0" w:right="0" w:firstLine="180"/>
              <w:jc w:val="left"/>
              <w:rPr>
                <w:b/>
                <w:sz w:val="20"/>
              </w:rPr>
            </w:pPr>
            <w:r>
              <w:rPr>
                <w:b/>
                <w:sz w:val="20"/>
              </w:rPr>
              <w:t>%</w:t>
            </w:r>
          </w:p>
        </w:tc>
      </w:tr>
      <w:tr>
        <w:trPr/>
        <w:tc>
          <w:tcPr>
            <w:tcW w:w="4160" w:type="dxa"/>
            <w:tcBorders/>
            <w:vAlign w:val="center"/>
          </w:tcPr>
          <w:p>
            <w:pPr>
              <w:pStyle w:val="TableContents"/>
              <w:bidi w:val="0"/>
              <w:spacing w:before="0" w:after="283"/>
              <w:jc w:val="left"/>
              <w:rPr>
                <w:i/>
                <w:sz w:val="20"/>
              </w:rPr>
            </w:pPr>
            <w:r>
              <w:rPr>
                <w:i/>
                <w:sz w:val="20"/>
              </w:rPr>
              <w:t>Services performed on third party tubes ($ million)</w:t>
            </w:r>
          </w:p>
        </w:tc>
        <w:tc>
          <w:tcPr>
            <w:tcW w:w="60" w:type="dxa"/>
            <w:tcBorders/>
            <w:vAlign w:val="center"/>
          </w:tcPr>
          <w:p>
            <w:pPr>
              <w:pStyle w:val="TableContents"/>
              <w:bidi w:val="0"/>
              <w:spacing w:before="0" w:after="283"/>
              <w:jc w:val="left"/>
              <w:rPr/>
            </w:pPr>
            <w:r>
              <w:rPr/>
              <w:t> </w:t>
            </w:r>
          </w:p>
        </w:tc>
        <w:tc>
          <w:tcPr>
            <w:tcW w:w="84" w:type="dxa"/>
            <w:tcBorders/>
            <w:shd w:fill="F2F2F2" w:val="clear"/>
            <w:vAlign w:val="center"/>
          </w:tcPr>
          <w:p>
            <w:pPr>
              <w:pStyle w:val="TableContents"/>
              <w:bidi w:val="0"/>
              <w:spacing w:before="0" w:after="283"/>
              <w:jc w:val="left"/>
              <w:rPr/>
            </w:pPr>
            <w:r>
              <w:rPr/>
              <w:t> </w:t>
            </w:r>
          </w:p>
        </w:tc>
        <w:tc>
          <w:tcPr>
            <w:tcW w:w="685" w:type="dxa"/>
            <w:tcBorders/>
            <w:shd w:fill="F2F2F2" w:val="clear"/>
            <w:vAlign w:val="center"/>
          </w:tcPr>
          <w:p>
            <w:pPr>
              <w:pStyle w:val="TableContents"/>
              <w:bidi w:val="0"/>
              <w:spacing w:before="0" w:after="283"/>
              <w:jc w:val="right"/>
              <w:rPr>
                <w:i/>
                <w:sz w:val="20"/>
              </w:rPr>
            </w:pPr>
            <w:r>
              <w:rPr>
                <w:i/>
                <w:sz w:val="20"/>
              </w:rPr>
              <w:t>199</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i/>
                <w:sz w:val="20"/>
              </w:rPr>
            </w:pPr>
            <w:r>
              <w:rPr>
                <w:i/>
                <w:sz w:val="20"/>
              </w:rPr>
              <w:t>211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b/>
                <w:sz w:val="20"/>
              </w:rPr>
            </w:pPr>
            <w:r>
              <w:rPr>
                <w:b/>
                <w:sz w:val="20"/>
              </w:rPr>
              <w:t>(5</w:t>
            </w:r>
          </w:p>
        </w:tc>
        <w:tc>
          <w:tcPr>
            <w:tcW w:w="471" w:type="dxa"/>
            <w:tcBorders/>
            <w:vAlign w:val="center"/>
          </w:tcPr>
          <w:p>
            <w:pPr>
              <w:pStyle w:val="TableContents"/>
              <w:bidi w:val="0"/>
              <w:spacing w:before="0" w:after="283"/>
              <w:ind w:left="0" w:right="0" w:firstLine="181"/>
              <w:jc w:val="left"/>
              <w:rPr>
                <w:b/>
                <w:sz w:val="20"/>
              </w:rPr>
            </w:pPr>
            <w:r>
              <w:rPr>
                <w:b/>
                <w:sz w:val="20"/>
              </w:rPr>
              <w:t>%)</w:t>
            </w:r>
          </w:p>
        </w:tc>
      </w:tr>
      <w:tr>
        <w:trPr/>
        <w:tc>
          <w:tcPr>
            <w:tcW w:w="4160" w:type="dxa"/>
            <w:tcBorders/>
            <w:vAlign w:val="center"/>
          </w:tcPr>
          <w:p>
            <w:pPr>
              <w:pStyle w:val="TableContents"/>
              <w:bidi w:val="0"/>
              <w:spacing w:before="0" w:after="283"/>
              <w:jc w:val="left"/>
              <w:rPr>
                <w:b/>
                <w:sz w:val="20"/>
              </w:rPr>
            </w:pPr>
            <w:r>
              <w:rPr>
                <w:b/>
                <w:sz w:val="20"/>
              </w:rPr>
              <w:t>Operating income ($ million)</w:t>
            </w:r>
          </w:p>
        </w:tc>
        <w:tc>
          <w:tcPr>
            <w:tcW w:w="60" w:type="dxa"/>
            <w:tcBorders/>
            <w:vAlign w:val="center"/>
          </w:tcPr>
          <w:p>
            <w:pPr>
              <w:pStyle w:val="TableContents"/>
              <w:bidi w:val="0"/>
              <w:spacing w:before="0" w:after="283"/>
              <w:jc w:val="left"/>
              <w:rPr/>
            </w:pPr>
            <w:r>
              <w:rPr/>
              <w:t> </w:t>
            </w:r>
          </w:p>
        </w:tc>
        <w:tc>
          <w:tcPr>
            <w:tcW w:w="84" w:type="dxa"/>
            <w:tcBorders/>
            <w:shd w:fill="F2F2F2" w:val="clear"/>
            <w:vAlign w:val="center"/>
          </w:tcPr>
          <w:p>
            <w:pPr>
              <w:pStyle w:val="TableContents"/>
              <w:bidi w:val="0"/>
              <w:spacing w:before="0" w:after="283"/>
              <w:jc w:val="left"/>
              <w:rPr/>
            </w:pPr>
            <w:r>
              <w:rPr/>
              <w:t> </w:t>
            </w:r>
          </w:p>
        </w:tc>
        <w:tc>
          <w:tcPr>
            <w:tcW w:w="685" w:type="dxa"/>
            <w:tcBorders/>
            <w:shd w:fill="F2F2F2" w:val="clear"/>
            <w:vAlign w:val="center"/>
          </w:tcPr>
          <w:p>
            <w:pPr>
              <w:pStyle w:val="TableContents"/>
              <w:bidi w:val="0"/>
              <w:spacing w:before="0" w:after="283"/>
              <w:jc w:val="right"/>
              <w:rPr>
                <w:b/>
                <w:sz w:val="20"/>
              </w:rPr>
            </w:pPr>
            <w:r>
              <w:rPr>
                <w:b/>
                <w:sz w:val="20"/>
              </w:rPr>
              <w:t>1,010</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b/>
                <w:sz w:val="20"/>
              </w:rPr>
            </w:pPr>
            <w:r>
              <w:rPr>
                <w:b/>
                <w:sz w:val="20"/>
              </w:rPr>
              <w:t>1,068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b/>
                <w:sz w:val="20"/>
              </w:rPr>
            </w:pPr>
            <w:r>
              <w:rPr>
                <w:b/>
                <w:sz w:val="20"/>
              </w:rPr>
              <w:t>(5</w:t>
            </w:r>
          </w:p>
        </w:tc>
        <w:tc>
          <w:tcPr>
            <w:tcW w:w="471" w:type="dxa"/>
            <w:tcBorders/>
            <w:vAlign w:val="center"/>
          </w:tcPr>
          <w:p>
            <w:pPr>
              <w:pStyle w:val="TableContents"/>
              <w:bidi w:val="0"/>
              <w:spacing w:before="0" w:after="283"/>
              <w:ind w:left="0" w:right="0" w:firstLine="180"/>
              <w:jc w:val="left"/>
              <w:rPr>
                <w:b/>
                <w:sz w:val="20"/>
              </w:rPr>
            </w:pPr>
            <w:r>
              <w:rPr>
                <w:b/>
                <w:sz w:val="20"/>
              </w:rPr>
              <w:t>%)</w:t>
            </w:r>
          </w:p>
        </w:tc>
      </w:tr>
      <w:tr>
        <w:trPr/>
        <w:tc>
          <w:tcPr>
            <w:tcW w:w="4160" w:type="dxa"/>
            <w:tcBorders/>
            <w:vAlign w:val="center"/>
          </w:tcPr>
          <w:p>
            <w:pPr>
              <w:pStyle w:val="TableContents"/>
              <w:bidi w:val="0"/>
              <w:spacing w:before="0" w:after="283"/>
              <w:jc w:val="left"/>
              <w:rPr>
                <w:sz w:val="20"/>
              </w:rPr>
            </w:pPr>
            <w:r>
              <w:rPr>
                <w:sz w:val="20"/>
              </w:rPr>
              <w:t>Operating margin (% of sales)</w:t>
            </w:r>
          </w:p>
        </w:tc>
        <w:tc>
          <w:tcPr>
            <w:tcW w:w="60" w:type="dxa"/>
            <w:tcBorders/>
            <w:vAlign w:val="center"/>
          </w:tcPr>
          <w:p>
            <w:pPr>
              <w:pStyle w:val="TableContents"/>
              <w:bidi w:val="0"/>
              <w:spacing w:before="0" w:after="283"/>
              <w:jc w:val="left"/>
              <w:rPr/>
            </w:pPr>
            <w:r>
              <w:rPr/>
              <w:t> </w:t>
            </w:r>
          </w:p>
        </w:tc>
        <w:tc>
          <w:tcPr>
            <w:tcW w:w="84" w:type="dxa"/>
            <w:tcBorders/>
            <w:shd w:fill="F2F2F2" w:val="clear"/>
            <w:vAlign w:val="center"/>
          </w:tcPr>
          <w:p>
            <w:pPr>
              <w:pStyle w:val="TableContents"/>
              <w:bidi w:val="0"/>
              <w:spacing w:before="0" w:after="283"/>
              <w:jc w:val="left"/>
              <w:rPr/>
            </w:pPr>
            <w:r>
              <w:rPr/>
              <w:t> </w:t>
            </w:r>
          </w:p>
        </w:tc>
        <w:tc>
          <w:tcPr>
            <w:tcW w:w="685" w:type="dxa"/>
            <w:tcBorders/>
            <w:shd w:fill="F2F2F2" w:val="clear"/>
            <w:vAlign w:val="center"/>
          </w:tcPr>
          <w:p>
            <w:pPr>
              <w:pStyle w:val="TableContents"/>
              <w:bidi w:val="0"/>
              <w:spacing w:before="0" w:after="283"/>
              <w:jc w:val="right"/>
              <w:rPr>
                <w:sz w:val="20"/>
              </w:rPr>
            </w:pPr>
            <w:r>
              <w:rPr>
                <w:sz w:val="20"/>
              </w:rPr>
              <w:t>17.6</w:t>
            </w:r>
          </w:p>
        </w:tc>
        <w:tc>
          <w:tcPr>
            <w:tcW w:w="185"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sz w:val="20"/>
              </w:rPr>
            </w:pPr>
            <w:r>
              <w:rPr>
                <w:sz w:val="20"/>
              </w:rPr>
              <w:t>18.8</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 </w:t>
            </w:r>
          </w:p>
        </w:tc>
        <w:tc>
          <w:tcPr>
            <w:tcW w:w="47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i/>
          <w:sz w:val="20"/>
        </w:rPr>
        <w:t xml:space="preserve">Net sales of tubular products and services </w:t>
      </w:r>
      <w:r>
        <w:rPr>
          <w:sz w:val="20"/>
        </w:rPr>
        <w:t>increased 1% to $5,734 million in the first half of 2026, compared to $5,686 million in the first half of 2025 due to a 1% decrease in volumes and a 2% increase in average selling prices driven by price increases in North America. Average drilling activity in the first half of 2026 declined 3% in the United States and Canada and 2% internationally compared to the first half of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 xml:space="preserve">Operating results from tubular products and services </w:t>
      </w:r>
      <w:r>
        <w:rPr>
          <w:sz w:val="20"/>
        </w:rPr>
        <w:t>amounted to a gain of $1,010 million in the first half of 2026 compared to a gain of $1,068 million in the first half of 2025. The decline in operating results is mainly due to the impact of tariff costs in the United States.</w:t>
      </w:r>
    </w:p>
    <w:p>
      <w:pPr>
        <w:pStyle w:val="TextBody"/>
        <w:bidi w:val="0"/>
        <w:spacing w:before="0" w:after="0"/>
        <w:ind w:left="0" w:right="0" w:hanging="0"/>
        <w:jc w:val="both"/>
        <w:rPr/>
      </w:pPr>
      <w:r>
        <w:rPr/>
        <w:t> </w:t>
      </w:r>
    </w:p>
    <w:p>
      <w:pPr>
        <w:pStyle w:val="TextBody"/>
        <w:bidi w:val="0"/>
        <w:spacing w:before="0" w:after="0"/>
        <w:ind w:left="0" w:right="0" w:hanging="0"/>
        <w:jc w:val="left"/>
        <w:rPr>
          <w:b/>
          <w:i/>
          <w:sz w:val="20"/>
        </w:rPr>
      </w:pPr>
      <w:r>
        <w:rPr>
          <w:b/>
          <w:i/>
          <w:sz w:val="20"/>
        </w:rPr>
        <w:t>Others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The following table indicates, for our Others business segment, net sales, operating income and operating income as a percentage of net sales for the periods indicated below:</w:t>
      </w:r>
    </w:p>
    <w:p>
      <w:pPr>
        <w:pStyle w:val="TextBody"/>
        <w:bidi w:val="0"/>
        <w:spacing w:before="0" w:after="0"/>
        <w:ind w:left="0" w:right="0" w:hanging="0"/>
        <w:jc w:val="both"/>
        <w:rPr/>
      </w:pPr>
      <w:r>
        <w:rPr/>
        <w:t> </w:t>
      </w:r>
    </w:p>
    <w:tbl>
      <w:tblPr>
        <w:tblW w:w="6650" w:type="dxa"/>
        <w:jc w:val="left"/>
        <w:tblInd w:w="0" w:type="dxa"/>
        <w:tblLayout w:type="fixed"/>
        <w:tblCellMar>
          <w:top w:w="0" w:type="dxa"/>
          <w:left w:w="0" w:type="dxa"/>
          <w:bottom w:w="0" w:type="dxa"/>
          <w:right w:w="0" w:type="dxa"/>
        </w:tblCellMar>
      </w:tblPr>
      <w:tblGrid>
        <w:gridCol w:w="2435"/>
        <w:gridCol w:w="60"/>
        <w:gridCol w:w="105"/>
        <w:gridCol w:w="665"/>
        <w:gridCol w:w="185"/>
        <w:gridCol w:w="60"/>
        <w:gridCol w:w="105"/>
        <w:gridCol w:w="665"/>
        <w:gridCol w:w="185"/>
        <w:gridCol w:w="60"/>
        <w:gridCol w:w="60"/>
        <w:gridCol w:w="1685"/>
        <w:gridCol w:w="380"/>
      </w:tblGrid>
      <w:tr>
        <w:trPr/>
        <w:tc>
          <w:tcPr>
            <w:tcW w:w="2435" w:type="dxa"/>
            <w:tcBorders/>
            <w:vAlign w:val="center"/>
          </w:tcPr>
          <w:p>
            <w:pPr>
              <w:pStyle w:val="TableContents"/>
              <w:bidi w:val="0"/>
              <w:spacing w:before="0" w:after="283"/>
              <w:ind w:left="0" w:right="0" w:firstLine="181"/>
              <w:jc w:val="left"/>
              <w:rPr>
                <w:b/>
                <w:sz w:val="20"/>
              </w:rPr>
            </w:pPr>
            <w:r>
              <w:rPr>
                <w:b/>
                <w:sz w:val="20"/>
              </w:rPr>
              <w:t>Others</w:t>
            </w:r>
          </w:p>
        </w:tc>
        <w:tc>
          <w:tcPr>
            <w:tcW w:w="60" w:type="dxa"/>
            <w:tcBorders/>
            <w:vAlign w:val="center"/>
          </w:tcPr>
          <w:p>
            <w:pPr>
              <w:pStyle w:val="TableContents"/>
              <w:bidi w:val="0"/>
              <w:spacing w:before="0" w:after="283"/>
              <w:jc w:val="left"/>
              <w:rPr/>
            </w:pPr>
            <w:r>
              <w:rPr/>
              <w:t> </w:t>
            </w:r>
          </w:p>
        </w:tc>
        <w:tc>
          <w:tcPr>
            <w:tcW w:w="770" w:type="dxa"/>
            <w:gridSpan w:val="2"/>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center"/>
              <w:rPr>
                <w:b/>
                <w:sz w:val="20"/>
              </w:rPr>
            </w:pPr>
            <w:r>
              <w:rPr>
                <w:b/>
                <w:sz w:val="20"/>
              </w:rPr>
              <w:t>6M 2026</w:t>
            </w:r>
          </w:p>
        </w:tc>
        <w:tc>
          <w:tcPr>
            <w:tcW w:w="185" w:type="dxa"/>
            <w:tcBorders>
              <w:top w:val="single" w:sz="8" w:space="0" w:color="000000"/>
              <w:bottom w:val="single" w:sz="8" w:space="0" w:color="000000"/>
            </w:tcBorders>
            <w:shd w:fill="F2F2F2"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770"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b/>
                <w:sz w:val="20"/>
              </w:rPr>
            </w:pPr>
            <w:r>
              <w:rPr>
                <w:b/>
                <w:sz w:val="20"/>
              </w:rPr>
              <w:t>6M 2025</w:t>
            </w:r>
          </w:p>
        </w:tc>
        <w:tc>
          <w:tcPr>
            <w:tcW w:w="1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c>
          <w:tcPr>
            <w:tcW w:w="16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b/>
                <w:sz w:val="20"/>
              </w:rPr>
            </w:pPr>
            <w:r>
              <w:rPr>
                <w:b/>
                <w:sz w:val="20"/>
              </w:rPr>
              <w:t>Increase/(Decrease)</w:t>
            </w:r>
          </w:p>
        </w:tc>
        <w:tc>
          <w:tcPr>
            <w:tcW w:w="38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ind w:left="0" w:right="0" w:firstLine="180"/>
              <w:jc w:val="left"/>
              <w:rPr/>
            </w:pPr>
            <w:r>
              <w:rPr/>
              <w:t> </w:t>
            </w:r>
          </w:p>
        </w:tc>
      </w:tr>
      <w:tr>
        <w:trPr/>
        <w:tc>
          <w:tcPr>
            <w:tcW w:w="2435" w:type="dxa"/>
            <w:tcBorders/>
            <w:vAlign w:val="center"/>
          </w:tcPr>
          <w:p>
            <w:pPr>
              <w:pStyle w:val="TableContents"/>
              <w:bidi w:val="0"/>
              <w:spacing w:before="0" w:after="283"/>
              <w:jc w:val="left"/>
              <w:rPr>
                <w:sz w:val="20"/>
              </w:rPr>
            </w:pPr>
            <w:r>
              <w:rPr>
                <w:sz w:val="20"/>
              </w:rPr>
              <w:t>Net sales ($ million)</w:t>
            </w:r>
          </w:p>
        </w:tc>
        <w:tc>
          <w:tcPr>
            <w:tcW w:w="60" w:type="dxa"/>
            <w:tcBorders/>
            <w:vAlign w:val="center"/>
          </w:tcPr>
          <w:p>
            <w:pPr>
              <w:pStyle w:val="TableContents"/>
              <w:bidi w:val="0"/>
              <w:spacing w:before="0" w:after="283"/>
              <w:jc w:val="left"/>
              <w:rPr/>
            </w:pPr>
            <w:r>
              <w:rPr/>
              <w:t> </w:t>
            </w:r>
          </w:p>
        </w:tc>
        <w:tc>
          <w:tcPr>
            <w:tcW w:w="105" w:type="dxa"/>
            <w:tcBorders/>
            <w:shd w:fill="F2F2F2" w:val="clear"/>
            <w:vAlign w:val="center"/>
          </w:tcPr>
          <w:p>
            <w:pPr>
              <w:pStyle w:val="TableContents"/>
              <w:bidi w:val="0"/>
              <w:spacing w:before="0" w:after="283"/>
              <w:jc w:val="left"/>
              <w:rPr/>
            </w:pPr>
            <w:r>
              <w:rPr/>
              <w:t> </w:t>
            </w:r>
          </w:p>
        </w:tc>
        <w:tc>
          <w:tcPr>
            <w:tcW w:w="665" w:type="dxa"/>
            <w:tcBorders/>
            <w:shd w:fill="F2F2F2" w:val="clear"/>
            <w:vAlign w:val="center"/>
          </w:tcPr>
          <w:p>
            <w:pPr>
              <w:pStyle w:val="TableContents"/>
              <w:bidi w:val="0"/>
              <w:spacing w:before="0" w:after="283"/>
              <w:jc w:val="right"/>
              <w:rPr>
                <w:sz w:val="20"/>
              </w:rPr>
            </w:pPr>
            <w:r>
              <w:rPr>
                <w:sz w:val="20"/>
              </w:rPr>
              <w:t>333</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20"/>
              </w:rPr>
            </w:pPr>
            <w:r>
              <w:rPr>
                <w:sz w:val="20"/>
              </w:rPr>
              <w:t>322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3</w:t>
            </w:r>
          </w:p>
        </w:tc>
        <w:tc>
          <w:tcPr>
            <w:tcW w:w="380" w:type="dxa"/>
            <w:tcBorders/>
            <w:vAlign w:val="center"/>
          </w:tcPr>
          <w:p>
            <w:pPr>
              <w:pStyle w:val="TableContents"/>
              <w:bidi w:val="0"/>
              <w:spacing w:before="0" w:after="283"/>
              <w:ind w:left="0" w:right="0" w:firstLine="180"/>
              <w:jc w:val="left"/>
              <w:rPr>
                <w:sz w:val="20"/>
              </w:rPr>
            </w:pPr>
            <w:r>
              <w:rPr>
                <w:sz w:val="20"/>
              </w:rPr>
              <w:t>%</w:t>
            </w:r>
          </w:p>
        </w:tc>
      </w:tr>
      <w:tr>
        <w:trPr/>
        <w:tc>
          <w:tcPr>
            <w:tcW w:w="2435" w:type="dxa"/>
            <w:tcBorders/>
            <w:vAlign w:val="center"/>
          </w:tcPr>
          <w:p>
            <w:pPr>
              <w:pStyle w:val="TableContents"/>
              <w:bidi w:val="0"/>
              <w:spacing w:before="0" w:after="283"/>
              <w:jc w:val="left"/>
              <w:rPr>
                <w:sz w:val="20"/>
              </w:rPr>
            </w:pPr>
            <w:r>
              <w:rPr>
                <w:sz w:val="20"/>
              </w:rPr>
              <w:t>Operating income ($ million)</w:t>
            </w:r>
          </w:p>
        </w:tc>
        <w:tc>
          <w:tcPr>
            <w:tcW w:w="60" w:type="dxa"/>
            <w:tcBorders/>
            <w:vAlign w:val="center"/>
          </w:tcPr>
          <w:p>
            <w:pPr>
              <w:pStyle w:val="TableContents"/>
              <w:bidi w:val="0"/>
              <w:spacing w:before="0" w:after="283"/>
              <w:jc w:val="left"/>
              <w:rPr/>
            </w:pPr>
            <w:r>
              <w:rPr/>
              <w:t> </w:t>
            </w:r>
          </w:p>
        </w:tc>
        <w:tc>
          <w:tcPr>
            <w:tcW w:w="105" w:type="dxa"/>
            <w:tcBorders/>
            <w:shd w:fill="F2F2F2" w:val="clear"/>
            <w:vAlign w:val="center"/>
          </w:tcPr>
          <w:p>
            <w:pPr>
              <w:pStyle w:val="TableContents"/>
              <w:bidi w:val="0"/>
              <w:spacing w:before="0" w:after="283"/>
              <w:jc w:val="left"/>
              <w:rPr/>
            </w:pPr>
            <w:r>
              <w:rPr/>
              <w:t> </w:t>
            </w:r>
          </w:p>
        </w:tc>
        <w:tc>
          <w:tcPr>
            <w:tcW w:w="665" w:type="dxa"/>
            <w:tcBorders/>
            <w:shd w:fill="F2F2F2" w:val="clear"/>
            <w:vAlign w:val="center"/>
          </w:tcPr>
          <w:p>
            <w:pPr>
              <w:pStyle w:val="TableContents"/>
              <w:bidi w:val="0"/>
              <w:spacing w:before="0" w:after="283"/>
              <w:jc w:val="right"/>
              <w:rPr>
                <w:sz w:val="20"/>
              </w:rPr>
            </w:pPr>
            <w:r>
              <w:rPr>
                <w:sz w:val="20"/>
              </w:rPr>
              <w:t>68</w:t>
            </w:r>
          </w:p>
        </w:tc>
        <w:tc>
          <w:tcPr>
            <w:tcW w:w="185"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20"/>
              </w:rPr>
            </w:pPr>
            <w:r>
              <w:rPr>
                <w:sz w:val="20"/>
              </w:rPr>
              <w:t>65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sz w:val="20"/>
              </w:rPr>
            </w:pPr>
            <w:r>
              <w:rPr>
                <w:sz w:val="20"/>
              </w:rPr>
              <w:t>5</w:t>
            </w:r>
          </w:p>
        </w:tc>
        <w:tc>
          <w:tcPr>
            <w:tcW w:w="380" w:type="dxa"/>
            <w:tcBorders/>
            <w:vAlign w:val="center"/>
          </w:tcPr>
          <w:p>
            <w:pPr>
              <w:pStyle w:val="TableContents"/>
              <w:bidi w:val="0"/>
              <w:spacing w:before="0" w:after="283"/>
              <w:ind w:left="0" w:right="0" w:firstLine="180"/>
              <w:jc w:val="left"/>
              <w:rPr>
                <w:sz w:val="20"/>
              </w:rPr>
            </w:pPr>
            <w:r>
              <w:rPr>
                <w:sz w:val="20"/>
              </w:rPr>
              <w:t>%</w:t>
            </w:r>
          </w:p>
        </w:tc>
      </w:tr>
      <w:tr>
        <w:trPr/>
        <w:tc>
          <w:tcPr>
            <w:tcW w:w="2435" w:type="dxa"/>
            <w:tcBorders/>
            <w:vAlign w:val="center"/>
          </w:tcPr>
          <w:p>
            <w:pPr>
              <w:pStyle w:val="TableContents"/>
              <w:bidi w:val="0"/>
              <w:spacing w:before="0" w:after="283"/>
              <w:jc w:val="left"/>
              <w:rPr>
                <w:sz w:val="20"/>
              </w:rPr>
            </w:pPr>
            <w:r>
              <w:rPr>
                <w:sz w:val="20"/>
              </w:rPr>
              <w:t>Operating margin (% of sales)</w:t>
            </w:r>
          </w:p>
        </w:tc>
        <w:tc>
          <w:tcPr>
            <w:tcW w:w="60" w:type="dxa"/>
            <w:tcBorders/>
            <w:vAlign w:val="center"/>
          </w:tcPr>
          <w:p>
            <w:pPr>
              <w:pStyle w:val="TableContents"/>
              <w:bidi w:val="0"/>
              <w:spacing w:before="0" w:after="283"/>
              <w:jc w:val="left"/>
              <w:rPr/>
            </w:pPr>
            <w:r>
              <w:rPr/>
              <w:t> </w:t>
            </w:r>
          </w:p>
        </w:tc>
        <w:tc>
          <w:tcPr>
            <w:tcW w:w="105" w:type="dxa"/>
            <w:tcBorders/>
            <w:shd w:fill="F2F2F2" w:val="clear"/>
            <w:vAlign w:val="center"/>
          </w:tcPr>
          <w:p>
            <w:pPr>
              <w:pStyle w:val="TableContents"/>
              <w:bidi w:val="0"/>
              <w:spacing w:before="0" w:after="283"/>
              <w:jc w:val="left"/>
              <w:rPr/>
            </w:pPr>
            <w:r>
              <w:rPr/>
              <w:t> </w:t>
            </w:r>
          </w:p>
        </w:tc>
        <w:tc>
          <w:tcPr>
            <w:tcW w:w="665" w:type="dxa"/>
            <w:tcBorders/>
            <w:shd w:fill="F2F2F2" w:val="clear"/>
            <w:vAlign w:val="center"/>
          </w:tcPr>
          <w:p>
            <w:pPr>
              <w:pStyle w:val="TableContents"/>
              <w:bidi w:val="0"/>
              <w:spacing w:before="0" w:after="283"/>
              <w:jc w:val="right"/>
              <w:rPr>
                <w:sz w:val="20"/>
              </w:rPr>
            </w:pPr>
            <w:r>
              <w:rPr>
                <w:sz w:val="20"/>
              </w:rPr>
              <w:t>20.5</w:t>
            </w:r>
          </w:p>
        </w:tc>
        <w:tc>
          <w:tcPr>
            <w:tcW w:w="185"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sz w:val="20"/>
              </w:rPr>
            </w:pPr>
            <w:r>
              <w:rPr>
                <w:sz w:val="20"/>
              </w:rPr>
              <w:t>20.2</w:t>
            </w:r>
          </w:p>
        </w:tc>
        <w:tc>
          <w:tcPr>
            <w:tcW w:w="185"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right"/>
              <w:rPr/>
            </w:pPr>
            <w:r>
              <w:rPr/>
              <w:t> </w:t>
            </w:r>
          </w:p>
        </w:tc>
        <w:tc>
          <w:tcPr>
            <w:tcW w:w="3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Net sales of other products and services</w:t>
      </w:r>
      <w:r>
        <w:rPr>
          <w:sz w:val="20"/>
        </w:rPr>
        <w:t xml:space="preserve"> increased 3% to $333 million in the first half of 2026, compared to $322 million in the first half of 2025. The increase is mainly due to additional sales of excess raw materials.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i/>
          <w:sz w:val="20"/>
        </w:rPr>
        <w:t>Operating results from other products and services</w:t>
      </w:r>
      <w:r>
        <w:rPr>
          <w:sz w:val="20"/>
        </w:rPr>
        <w:t xml:space="preserve"> amounted to a gain of $68 million in the first half of 2026, compared to a gain of $65 million in the first half of 2025. These results were primarily driven by our oilfield services business in Argentina and by sales of sucker rods, pipes for plumbing applications, and coiled tubing.</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drawing>
          <wp:inline distT="0" distB="0" distL="0" distR="0">
            <wp:extent cx="198120" cy="1828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98120" cy="182880"/>
                    </a:xfrm>
                    <a:prstGeom prst="rect">
                      <a:avLst/>
                    </a:prstGeom>
                  </pic:spPr>
                </pic:pic>
              </a:graphicData>
            </a:graphic>
          </wp:inline>
        </w:drawing>
      </w:r>
      <w:r>
        <w:rPr/>
        <w:t> </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sz w:val="20"/>
        </w:rPr>
        <w:t xml:space="preserve">Selling, general and administrative expenses, or SG&amp;A, </w:t>
      </w:r>
      <w:r>
        <w:rPr>
          <w:sz w:val="20"/>
        </w:rPr>
        <w:t>amounted to $951 million in the first half of 2026 and $941 million in the first half of 2025 in both cases representing 15.7% of sales.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sz w:val="20"/>
        </w:rPr>
        <w:t xml:space="preserve">Other operating results </w:t>
      </w:r>
      <w:r>
        <w:rPr>
          <w:sz w:val="20"/>
        </w:rPr>
        <w:t>amounted to a loss of $6 million in the first half of 2026, compared to a loss of $50 thousand in the first half of 2025. The six million loss is mainly due to the provision for ongoing litigation related to the acquisition of a participation in Usiminas.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sz w:val="20"/>
        </w:rPr>
        <w:t xml:space="preserve">Financial results </w:t>
      </w:r>
      <w:r>
        <w:rPr>
          <w:sz w:val="20"/>
        </w:rPr>
        <w:t>amounted to a gain of $83 million in the first half of 2026, compared to a gain of $67 million in the first half of 2025. Financial results of the semester are mainly attributable to a $94 million net finance income from the net return of our portfolio investments.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sz w:val="20"/>
        </w:rPr>
        <w:t>Equity in earnings of non-consolidated companies</w:t>
      </w:r>
      <w:r>
        <w:rPr>
          <w:sz w:val="20"/>
        </w:rPr>
        <w:t xml:space="preserve"> generated a gain of $81 million in the first half of 2026, compared to a gain of $47 million in the first half of 2025. These results are mainly derived from our participation in Ternium (NYSE:TX) and Usiminas.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b/>
          <w:sz w:val="20"/>
        </w:rPr>
        <w:t>Income tax</w:t>
      </w:r>
      <w:r>
        <w:rPr>
          <w:sz w:val="20"/>
        </w:rPr>
        <w:t xml:space="preserve"> amounted to a charge of $185 million in the first half of 2026, compared to $187 million in the first half of 2025.</w:t>
      </w:r>
    </w:p>
    <w:p>
      <w:pPr>
        <w:pStyle w:val="TextBody"/>
        <w:bidi w:val="0"/>
        <w:spacing w:before="0" w:after="0"/>
        <w:ind w:left="0" w:right="0" w:hanging="0"/>
        <w:jc w:val="left"/>
        <w:rPr/>
      </w:pPr>
      <w:r>
        <w:rPr/>
        <w:t> </w:t>
      </w:r>
    </w:p>
    <w:p>
      <w:pPr>
        <w:pStyle w:val="TextBody"/>
        <w:bidi w:val="0"/>
        <w:spacing w:before="0" w:after="0"/>
        <w:ind w:left="0" w:right="0" w:hanging="0"/>
        <w:jc w:val="left"/>
        <w:rPr>
          <w:color w:val="009900"/>
          <w:sz w:val="20"/>
        </w:rPr>
      </w:pPr>
      <w:r>
        <w:rPr>
          <w:color w:val="009900"/>
          <w:sz w:val="20"/>
        </w:rPr>
        <w:t>Cash Flow and Liquidity of 2026 First Half</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Net cash provided by operating activities during the first half of 2026 amounted to $1.1 billion (net of an increase in working capital of $84 million), compared to cash provided by operations of $1.5 billion (including a reduction in working capital of $250 million) in the first half of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Capital expenditures amounted to $236 million in the first half of 2026, compared to $309 million in the first half of 2025. Free cash flow amounted to $0.9 billion in the first half of 2026, compared to $1.2 billion in the first half of 2025.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Following a dividend payment of $606 million in May 2026 and share buybacks of $90 million during the first half of 2026, our net cash position amounted to $3.6 billion at the end of June 2026.</w:t>
      </w:r>
    </w:p>
    <w:p>
      <w:pPr>
        <w:pStyle w:val="TextBody"/>
        <w:bidi w:val="0"/>
        <w:spacing w:before="0" w:after="0"/>
        <w:ind w:left="0" w:right="0" w:hanging="0"/>
        <w:jc w:val="both"/>
        <w:rPr/>
      </w:pPr>
      <w:r>
        <w:rPr/>
        <w:t> </w:t>
      </w:r>
    </w:p>
    <w:p>
      <w:pPr>
        <w:pStyle w:val="TextBody"/>
        <w:bidi w:val="0"/>
        <w:spacing w:before="0" w:after="0"/>
        <w:ind w:left="0" w:right="0" w:hanging="0"/>
        <w:jc w:val="left"/>
        <w:rPr>
          <w:color w:val="009900"/>
          <w:sz w:val="20"/>
        </w:rPr>
      </w:pPr>
      <w:r>
        <w:rPr>
          <w:color w:val="009900"/>
          <w:sz w:val="20"/>
        </w:rPr>
        <w:t>Tenaris Files Half-Year Report</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Tenaris S.A. announces that it has filed its half-year report for the six-month period ended June 30, 2026 with the Luxembourg Stock Exchange. The half-year report can be downloaded from the Luxembourg Stock Exchange’s website at www.luxse.com and from Tenaris’s website at ir.tenaris.com.</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Holders of Tenaris’s shares and ADSs, and any other interested parties, may request a hard copy of the half-year report, free of charge, at 1-888-300-5432 (toll free from the United States) or 52-229-989-1159 (from outside the United States).</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drawing>
          <wp:inline distT="0" distB="0" distL="0" distR="0">
            <wp:extent cx="198120" cy="18288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98120" cy="182880"/>
                    </a:xfrm>
                    <a:prstGeom prst="rect">
                      <a:avLst/>
                    </a:prstGeom>
                  </pic:spPr>
                </pic:pic>
              </a:graphicData>
            </a:graphic>
          </wp:inline>
        </w:drawing>
      </w:r>
      <w:r>
        <w:rPr/>
        <w:t> </w:t>
      </w:r>
    </w:p>
    <w:p>
      <w:pPr>
        <w:pStyle w:val="TextBody"/>
        <w:bidi w:val="0"/>
        <w:spacing w:before="0" w:after="0"/>
        <w:ind w:left="0" w:right="0" w:hanging="0"/>
        <w:jc w:val="both"/>
        <w:rPr/>
      </w:pPr>
      <w:r>
        <w:rPr/>
        <w:t> </w:t>
      </w:r>
    </w:p>
    <w:p>
      <w:pPr>
        <w:pStyle w:val="TextBody"/>
        <w:bidi w:val="0"/>
        <w:spacing w:before="0" w:after="0"/>
        <w:ind w:left="0" w:right="0" w:hanging="0"/>
        <w:jc w:val="left"/>
        <w:rPr>
          <w:b/>
          <w:color w:val="009900"/>
          <w:sz w:val="20"/>
        </w:rPr>
      </w:pPr>
      <w:r>
        <w:rPr>
          <w:b/>
          <w:color w:val="009900"/>
          <w:sz w:val="20"/>
        </w:rPr>
        <w:t>Conference call</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both"/>
        <w:rPr>
          <w:sz w:val="20"/>
        </w:rPr>
      </w:pPr>
      <w:r>
        <w:rPr>
          <w:sz w:val="20"/>
        </w:rPr>
        <w:t>Tenaris will hold a conference call to discuss the above reported results, on August 6, 2026, at 08:00 a.m. (Eastern Time). Following a brief summary, the conference call will be opened to questions.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To listen to the conference please join through one of the following options:</w:t>
      </w:r>
    </w:p>
    <w:p>
      <w:pPr>
        <w:pStyle w:val="TextBody"/>
        <w:bidi w:val="0"/>
        <w:spacing w:before="0" w:after="0"/>
        <w:ind w:left="0" w:right="0" w:hanging="0"/>
        <w:jc w:val="both"/>
        <w:rPr>
          <w:sz w:val="20"/>
        </w:rPr>
      </w:pPr>
      <w:r>
        <w:rPr>
          <w:sz w:val="20"/>
        </w:rPr>
        <w:t>ir.tenaris.com/events-and-presentations or</w:t>
      </w:r>
    </w:p>
    <w:p>
      <w:pPr>
        <w:pStyle w:val="TextBody"/>
        <w:bidi w:val="0"/>
        <w:spacing w:before="0" w:after="0"/>
        <w:ind w:left="0" w:right="0" w:hanging="0"/>
        <w:jc w:val="both"/>
        <w:rPr>
          <w:sz w:val="20"/>
        </w:rPr>
      </w:pPr>
      <w:r>
        <w:rPr>
          <w:sz w:val="20"/>
        </w:rPr>
        <w:t>https://edge.media-server.com/mmc/p/mebw5wg6</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If you wish to participate in the Q&amp;A session please register at the following link:</w:t>
      </w:r>
    </w:p>
    <w:p>
      <w:pPr>
        <w:pStyle w:val="TextBody"/>
        <w:bidi w:val="0"/>
        <w:spacing w:before="0" w:after="0"/>
        <w:ind w:left="0" w:right="0" w:hanging="0"/>
        <w:jc w:val="both"/>
        <w:rPr>
          <w:sz w:val="20"/>
        </w:rPr>
      </w:pPr>
      <w:r>
        <w:rPr>
          <w:sz w:val="20"/>
        </w:rPr>
        <w:t>https://register-conf.media-server.com/register/BIdf3a3ac7cf144c3f80f84a3c0df4fbe9</w:t>
      </w:r>
    </w:p>
    <w:p>
      <w:pPr>
        <w:pStyle w:val="TextBody"/>
        <w:bidi w:val="0"/>
        <w:spacing w:before="0" w:after="0"/>
        <w:ind w:left="0" w:right="0" w:hanging="0"/>
        <w:jc w:val="both"/>
        <w:rPr/>
      </w:pPr>
      <w:r>
        <w:rPr/>
        <w:t> </w:t>
      </w:r>
    </w:p>
    <w:p>
      <w:pPr>
        <w:pStyle w:val="TextBody"/>
        <w:bidi w:val="0"/>
        <w:spacing w:before="0" w:after="0"/>
        <w:ind w:left="0" w:right="0" w:hanging="0"/>
        <w:jc w:val="both"/>
        <w:rPr>
          <w:i/>
          <w:sz w:val="20"/>
        </w:rPr>
      </w:pPr>
      <w:r>
        <w:rPr>
          <w:i/>
          <w:sz w:val="20"/>
        </w:rPr>
        <w:t>Please connect 10 minutes before the scheduled start time.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A replay of the conference call will also be available on our webpage at: ir.tenaris.com/events-and-presentations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drawing>
          <wp:inline distT="0" distB="0" distL="0" distR="0">
            <wp:extent cx="198120" cy="18288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98120" cy="182880"/>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color w:val="009900"/>
          <w:sz w:val="20"/>
        </w:rPr>
      </w:pPr>
      <w:r>
        <w:rPr>
          <w:b/>
          <w:color w:val="009900"/>
          <w:sz w:val="20"/>
        </w:rPr>
        <w:t>Consolidated Condensed Interim Income Statement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749"/>
        <w:gridCol w:w="60"/>
        <w:gridCol w:w="76"/>
        <w:gridCol w:w="1160"/>
        <w:gridCol w:w="102"/>
        <w:gridCol w:w="76"/>
        <w:gridCol w:w="76"/>
        <w:gridCol w:w="1160"/>
        <w:gridCol w:w="80"/>
        <w:gridCol w:w="60"/>
        <w:gridCol w:w="72"/>
        <w:gridCol w:w="1096"/>
        <w:gridCol w:w="96"/>
        <w:gridCol w:w="72"/>
        <w:gridCol w:w="72"/>
        <w:gridCol w:w="1096"/>
        <w:gridCol w:w="102"/>
      </w:tblGrid>
      <w:tr>
        <w:trPr/>
        <w:tc>
          <w:tcPr>
            <w:tcW w:w="4749" w:type="dxa"/>
            <w:tcBorders/>
            <w:vAlign w:val="center"/>
          </w:tcPr>
          <w:p>
            <w:pPr>
              <w:pStyle w:val="TableContents"/>
              <w:bidi w:val="0"/>
              <w:spacing w:before="0" w:after="283"/>
              <w:jc w:val="both"/>
              <w:rPr>
                <w:sz w:val="20"/>
              </w:rPr>
            </w:pPr>
            <w:r>
              <w:rPr>
                <w:sz w:val="20"/>
              </w:rPr>
              <w:t>(all amounts in thousands of U.S. dollars)</w:t>
            </w:r>
          </w:p>
        </w:tc>
        <w:tc>
          <w:tcPr>
            <w:tcW w:w="60" w:type="dxa"/>
            <w:tcBorders/>
            <w:vAlign w:val="center"/>
          </w:tcPr>
          <w:p>
            <w:pPr>
              <w:pStyle w:val="TableContents"/>
              <w:bidi w:val="0"/>
              <w:spacing w:before="0" w:after="283"/>
              <w:jc w:val="left"/>
              <w:rPr/>
            </w:pPr>
            <w:r>
              <w:rPr/>
              <w:t> </w:t>
            </w:r>
          </w:p>
        </w:tc>
        <w:tc>
          <w:tcPr>
            <w:tcW w:w="265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June 30,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504"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6"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23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68"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16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0" w:type="dxa"/>
            <w:gridSpan w:val="6"/>
            <w:tcBorders/>
            <w:vAlign w:val="center"/>
          </w:tcPr>
          <w:p>
            <w:pPr>
              <w:pStyle w:val="TableContents"/>
              <w:bidi w:val="0"/>
              <w:spacing w:before="0" w:after="283"/>
              <w:jc w:val="center"/>
              <w:rPr>
                <w:b/>
                <w:sz w:val="20"/>
              </w:rPr>
            </w:pPr>
            <w:r>
              <w:rPr>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4" w:type="dxa"/>
            <w:gridSpan w:val="6"/>
            <w:tcBorders/>
            <w:vAlign w:val="center"/>
          </w:tcPr>
          <w:p>
            <w:pPr>
              <w:pStyle w:val="TableContents"/>
              <w:bidi w:val="0"/>
              <w:spacing w:before="0" w:after="283"/>
              <w:jc w:val="center"/>
              <w:rPr>
                <w:b/>
                <w:sz w:val="20"/>
              </w:rPr>
            </w:pPr>
            <w:r>
              <w:rPr>
                <w:b/>
                <w:sz w:val="20"/>
              </w:rPr>
              <w:t>(Unaudited)</w:t>
            </w:r>
          </w:p>
        </w:tc>
        <w:tc>
          <w:tcPr>
            <w:tcW w:w="102" w:type="dxa"/>
            <w:tcBorders/>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both"/>
              <w:rPr>
                <w:sz w:val="20"/>
              </w:rPr>
            </w:pPr>
            <w:r>
              <w:rPr>
                <w:sz w:val="20"/>
              </w:rPr>
              <w:t>Net sales</w:t>
            </w:r>
          </w:p>
        </w:tc>
        <w:tc>
          <w:tcPr>
            <w:tcW w:w="60" w:type="dxa"/>
            <w:tcBorders/>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160" w:type="dxa"/>
            <w:tcBorders/>
            <w:shd w:fill="F2F2F2" w:val="clear"/>
            <w:vAlign w:val="center"/>
          </w:tcPr>
          <w:p>
            <w:pPr>
              <w:pStyle w:val="TableContents"/>
              <w:bidi w:val="0"/>
              <w:spacing w:before="0" w:after="283"/>
              <w:jc w:val="right"/>
              <w:rPr>
                <w:sz w:val="20"/>
              </w:rPr>
            </w:pPr>
            <w:r>
              <w:rPr>
                <w:sz w:val="20"/>
              </w:rPr>
              <w:t>2,966,626</w:t>
            </w:r>
          </w:p>
        </w:tc>
        <w:tc>
          <w:tcPr>
            <w:tcW w:w="102" w:type="dxa"/>
            <w:tcBorders/>
            <w:shd w:fill="F2F2F2" w:val="cle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sz w:val="20"/>
              </w:rPr>
            </w:pPr>
            <w:r>
              <w:rPr>
                <w:sz w:val="20"/>
              </w:rPr>
              <w:t>3,085,672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96" w:type="dxa"/>
            <w:tcBorders/>
            <w:shd w:fill="F2F2F2" w:val="clear"/>
            <w:vAlign w:val="center"/>
          </w:tcPr>
          <w:p>
            <w:pPr>
              <w:pStyle w:val="TableContents"/>
              <w:bidi w:val="0"/>
              <w:spacing w:before="0" w:after="283"/>
              <w:jc w:val="right"/>
              <w:rPr>
                <w:sz w:val="20"/>
              </w:rPr>
            </w:pPr>
            <w:r>
              <w:rPr>
                <w:sz w:val="20"/>
              </w:rPr>
              <w:t>6,067,084</w:t>
            </w:r>
          </w:p>
        </w:tc>
        <w:tc>
          <w:tcPr>
            <w:tcW w:w="96"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sz w:val="20"/>
              </w:rPr>
            </w:pPr>
            <w:r>
              <w:rPr>
                <w:sz w:val="20"/>
              </w:rPr>
              <w:t>6,007,884</w:t>
            </w:r>
          </w:p>
        </w:tc>
        <w:tc>
          <w:tcPr>
            <w:tcW w:w="102" w:type="dxa"/>
            <w:tcBorders/>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both"/>
              <w:rPr>
                <w:sz w:val="20"/>
              </w:rPr>
            </w:pPr>
            <w:r>
              <w:rPr>
                <w:sz w:val="20"/>
              </w:rPr>
              <w:t>Cost of sales</w:t>
            </w:r>
          </w:p>
        </w:tc>
        <w:tc>
          <w:tcPr>
            <w:tcW w:w="60" w:type="dxa"/>
            <w:tcBorders/>
            <w:vAlign w:val="center"/>
          </w:tcPr>
          <w:p>
            <w:pPr>
              <w:pStyle w:val="TableContents"/>
              <w:bidi w:val="0"/>
              <w:spacing w:before="0" w:after="283"/>
              <w:jc w:val="left"/>
              <w:rPr/>
            </w:pPr>
            <w:r>
              <w:rPr/>
              <w:t> </w:t>
            </w:r>
          </w:p>
        </w:tc>
        <w:tc>
          <w:tcPr>
            <w:tcW w:w="7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(1,981,966</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right"/>
              <w:rPr>
                <w:sz w:val="20"/>
              </w:rPr>
            </w:pPr>
            <w:r>
              <w:rPr>
                <w:sz w:val="20"/>
              </w:rPr>
              <w:t>(2,013,639</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(4,032,289</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tcMar>
              <w:bottom w:w="28" w:type="dxa"/>
            </w:tcMar>
            <w:vAlign w:val="center"/>
          </w:tcPr>
          <w:p>
            <w:pPr>
              <w:pStyle w:val="TableContents"/>
              <w:bidi w:val="0"/>
              <w:spacing w:before="0" w:after="283"/>
              <w:jc w:val="right"/>
              <w:rPr>
                <w:sz w:val="20"/>
              </w:rPr>
            </w:pPr>
            <w:r>
              <w:rPr>
                <w:sz w:val="20"/>
              </w:rPr>
              <w:t>(3,934,494</w:t>
            </w:r>
          </w:p>
        </w:tc>
        <w:tc>
          <w:tcPr>
            <w:tcW w:w="102"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4749" w:type="dxa"/>
            <w:tcBorders/>
            <w:vAlign w:val="center"/>
          </w:tcPr>
          <w:p>
            <w:pPr>
              <w:pStyle w:val="TableContents"/>
              <w:bidi w:val="0"/>
              <w:spacing w:before="0" w:after="283"/>
              <w:jc w:val="both"/>
              <w:rPr>
                <w:b/>
                <w:sz w:val="20"/>
              </w:rPr>
            </w:pPr>
            <w:r>
              <w:rPr>
                <w:b/>
                <w:sz w:val="20"/>
              </w:rPr>
              <w:t>Gross profit</w:t>
            </w:r>
          </w:p>
        </w:tc>
        <w:tc>
          <w:tcPr>
            <w:tcW w:w="60" w:type="dxa"/>
            <w:tcBorders/>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160" w:type="dxa"/>
            <w:tcBorders/>
            <w:shd w:fill="F2F2F2" w:val="clear"/>
            <w:vAlign w:val="center"/>
          </w:tcPr>
          <w:p>
            <w:pPr>
              <w:pStyle w:val="TableContents"/>
              <w:bidi w:val="0"/>
              <w:spacing w:before="0" w:after="283"/>
              <w:jc w:val="right"/>
              <w:rPr>
                <w:b/>
                <w:sz w:val="20"/>
              </w:rPr>
            </w:pPr>
            <w:r>
              <w:rPr>
                <w:b/>
                <w:sz w:val="20"/>
              </w:rPr>
              <w:t>984,660</w:t>
            </w:r>
          </w:p>
        </w:tc>
        <w:tc>
          <w:tcPr>
            <w:tcW w:w="102" w:type="dxa"/>
            <w:tcBorders/>
            <w:shd w:fill="F2F2F2" w:val="cle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b/>
                <w:sz w:val="20"/>
              </w:rPr>
            </w:pPr>
            <w:r>
              <w:rPr>
                <w:b/>
                <w:sz w:val="20"/>
              </w:rPr>
              <w:t>1,072,033</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96" w:type="dxa"/>
            <w:tcBorders/>
            <w:shd w:fill="F2F2F2" w:val="clear"/>
            <w:vAlign w:val="center"/>
          </w:tcPr>
          <w:p>
            <w:pPr>
              <w:pStyle w:val="TableContents"/>
              <w:bidi w:val="0"/>
              <w:spacing w:before="0" w:after="283"/>
              <w:jc w:val="right"/>
              <w:rPr>
                <w:b/>
                <w:sz w:val="20"/>
              </w:rPr>
            </w:pPr>
            <w:r>
              <w:rPr>
                <w:b/>
                <w:sz w:val="20"/>
              </w:rPr>
              <w:t>2,034,795</w:t>
            </w:r>
          </w:p>
        </w:tc>
        <w:tc>
          <w:tcPr>
            <w:tcW w:w="96"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b/>
                <w:sz w:val="20"/>
              </w:rPr>
            </w:pPr>
            <w:r>
              <w:rPr>
                <w:b/>
                <w:sz w:val="20"/>
              </w:rPr>
              <w:t>2,073,390</w:t>
            </w:r>
          </w:p>
        </w:tc>
        <w:tc>
          <w:tcPr>
            <w:tcW w:w="102" w:type="dxa"/>
            <w:tcBorders/>
            <w:shd w:fill="FFFFFF" w:val="clear"/>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both"/>
              <w:rPr>
                <w:sz w:val="20"/>
              </w:rPr>
            </w:pPr>
            <w:r>
              <w:rPr>
                <w:sz w:val="20"/>
              </w:rPr>
              <w:t>Selling, general and administrative expenses</w:t>
            </w:r>
          </w:p>
        </w:tc>
        <w:tc>
          <w:tcPr>
            <w:tcW w:w="60" w:type="dxa"/>
            <w:tcBorders/>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160" w:type="dxa"/>
            <w:tcBorders/>
            <w:shd w:fill="F2F2F2" w:val="clear"/>
            <w:vAlign w:val="center"/>
          </w:tcPr>
          <w:p>
            <w:pPr>
              <w:pStyle w:val="TableContents"/>
              <w:bidi w:val="0"/>
              <w:spacing w:before="0" w:after="283"/>
              <w:jc w:val="right"/>
              <w:rPr>
                <w:sz w:val="20"/>
              </w:rPr>
            </w:pPr>
            <w:r>
              <w:rPr>
                <w:sz w:val="20"/>
              </w:rPr>
              <w:t>(484,107</w:t>
            </w:r>
          </w:p>
        </w:tc>
        <w:tc>
          <w:tcPr>
            <w:tcW w:w="102" w:type="dxa"/>
            <w:tcBorders/>
            <w:shd w:fill="F2F2F2" w:val="clear"/>
            <w:vAlign w:val="center"/>
          </w:tcPr>
          <w:p>
            <w:pPr>
              <w:pStyle w:val="TableContents"/>
              <w:bidi w:val="0"/>
              <w:spacing w:before="0" w:after="283"/>
              <w:jc w:val="left"/>
              <w:rPr>
                <w:sz w:val="20"/>
              </w:rPr>
            </w:pPr>
            <w:r>
              <w:rPr>
                <w:sz w:val="20"/>
              </w:rPr>
              <w:t>)</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sz w:val="20"/>
              </w:rPr>
            </w:pPr>
            <w:r>
              <w:rPr>
                <w:sz w:val="20"/>
              </w:rPr>
              <w:t>(483,633</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96" w:type="dxa"/>
            <w:tcBorders/>
            <w:shd w:fill="F2F2F2" w:val="clear"/>
            <w:vAlign w:val="center"/>
          </w:tcPr>
          <w:p>
            <w:pPr>
              <w:pStyle w:val="TableContents"/>
              <w:bidi w:val="0"/>
              <w:spacing w:before="0" w:after="283"/>
              <w:jc w:val="right"/>
              <w:rPr>
                <w:sz w:val="20"/>
              </w:rPr>
            </w:pPr>
            <w:r>
              <w:rPr>
                <w:sz w:val="20"/>
              </w:rPr>
              <w:t>(950,698</w:t>
            </w:r>
          </w:p>
        </w:tc>
        <w:tc>
          <w:tcPr>
            <w:tcW w:w="96" w:type="dxa"/>
            <w:tcBorders/>
            <w:shd w:fill="F2F2F2" w:val="clear"/>
            <w:vAlign w:val="center"/>
          </w:tcPr>
          <w:p>
            <w:pPr>
              <w:pStyle w:val="TableContents"/>
              <w:bidi w:val="0"/>
              <w:spacing w:before="0" w:after="283"/>
              <w:jc w:val="left"/>
              <w:rPr>
                <w:sz w:val="20"/>
              </w:rPr>
            </w:pPr>
            <w:r>
              <w:rPr>
                <w:sz w:val="20"/>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sz w:val="20"/>
              </w:rPr>
            </w:pPr>
            <w:r>
              <w:rPr>
                <w:sz w:val="20"/>
              </w:rPr>
              <w:t>(940,698</w:t>
            </w:r>
          </w:p>
        </w:tc>
        <w:tc>
          <w:tcPr>
            <w:tcW w:w="102" w:type="dxa"/>
            <w:tcBorders/>
            <w:vAlign w:val="center"/>
          </w:tcPr>
          <w:p>
            <w:pPr>
              <w:pStyle w:val="TableContents"/>
              <w:bidi w:val="0"/>
              <w:spacing w:before="0" w:after="283"/>
              <w:jc w:val="left"/>
              <w:rPr>
                <w:sz w:val="20"/>
              </w:rPr>
            </w:pPr>
            <w:r>
              <w:rPr>
                <w:sz w:val="20"/>
              </w:rPr>
              <w:t>)</w:t>
            </w:r>
          </w:p>
        </w:tc>
      </w:tr>
      <w:tr>
        <w:trPr/>
        <w:tc>
          <w:tcPr>
            <w:tcW w:w="4749" w:type="dxa"/>
            <w:tcBorders/>
            <w:vAlign w:val="center"/>
          </w:tcPr>
          <w:p>
            <w:pPr>
              <w:pStyle w:val="TableContents"/>
              <w:bidi w:val="0"/>
              <w:spacing w:before="0" w:after="283"/>
              <w:jc w:val="both"/>
              <w:rPr>
                <w:sz w:val="20"/>
              </w:rPr>
            </w:pPr>
            <w:r>
              <w:rPr>
                <w:sz w:val="20"/>
              </w:rPr>
              <w:t>Other operating income</w:t>
            </w:r>
          </w:p>
        </w:tc>
        <w:tc>
          <w:tcPr>
            <w:tcW w:w="60" w:type="dxa"/>
            <w:tcBorders/>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160" w:type="dxa"/>
            <w:tcBorders/>
            <w:shd w:fill="F2F2F2" w:val="clear"/>
            <w:vAlign w:val="center"/>
          </w:tcPr>
          <w:p>
            <w:pPr>
              <w:pStyle w:val="TableContents"/>
              <w:bidi w:val="0"/>
              <w:spacing w:before="0" w:after="283"/>
              <w:jc w:val="right"/>
              <w:rPr>
                <w:sz w:val="20"/>
              </w:rPr>
            </w:pPr>
            <w:r>
              <w:rPr>
                <w:sz w:val="20"/>
              </w:rPr>
              <w:t>2,791</w:t>
            </w:r>
          </w:p>
        </w:tc>
        <w:tc>
          <w:tcPr>
            <w:tcW w:w="102" w:type="dxa"/>
            <w:tcBorders/>
            <w:shd w:fill="F2F2F2" w:val="cle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sz w:val="20"/>
              </w:rPr>
            </w:pPr>
            <w:r>
              <w:rPr>
                <w:sz w:val="20"/>
              </w:rPr>
              <w:t>4,317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96" w:type="dxa"/>
            <w:tcBorders/>
            <w:shd w:fill="F2F2F2" w:val="clear"/>
            <w:vAlign w:val="center"/>
          </w:tcPr>
          <w:p>
            <w:pPr>
              <w:pStyle w:val="TableContents"/>
              <w:bidi w:val="0"/>
              <w:spacing w:before="0" w:after="283"/>
              <w:jc w:val="right"/>
              <w:rPr>
                <w:sz w:val="20"/>
              </w:rPr>
            </w:pPr>
            <w:r>
              <w:rPr>
                <w:sz w:val="20"/>
              </w:rPr>
              <w:t>9,231</w:t>
            </w:r>
          </w:p>
        </w:tc>
        <w:tc>
          <w:tcPr>
            <w:tcW w:w="96"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sz w:val="20"/>
              </w:rPr>
            </w:pPr>
            <w:r>
              <w:rPr>
                <w:sz w:val="20"/>
              </w:rPr>
              <w:t>16,105</w:t>
            </w:r>
          </w:p>
        </w:tc>
        <w:tc>
          <w:tcPr>
            <w:tcW w:w="102" w:type="dxa"/>
            <w:tcBorders/>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both"/>
              <w:rPr>
                <w:sz w:val="20"/>
              </w:rPr>
            </w:pPr>
            <w:r>
              <w:rPr>
                <w:sz w:val="20"/>
              </w:rPr>
              <w:t>Other operating expenses</w:t>
            </w:r>
          </w:p>
        </w:tc>
        <w:tc>
          <w:tcPr>
            <w:tcW w:w="60" w:type="dxa"/>
            <w:tcBorders/>
            <w:vAlign w:val="center"/>
          </w:tcPr>
          <w:p>
            <w:pPr>
              <w:pStyle w:val="TableContents"/>
              <w:bidi w:val="0"/>
              <w:spacing w:before="0" w:after="283"/>
              <w:jc w:val="left"/>
              <w:rPr/>
            </w:pPr>
            <w:r>
              <w:rPr/>
              <w:t> </w:t>
            </w:r>
          </w:p>
        </w:tc>
        <w:tc>
          <w:tcPr>
            <w:tcW w:w="7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(9,342</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right"/>
              <w:rPr>
                <w:sz w:val="20"/>
              </w:rPr>
            </w:pPr>
            <w:r>
              <w:rPr>
                <w:sz w:val="20"/>
              </w:rPr>
              <w:t>(9,983</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(15,462</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tcMar>
              <w:bottom w:w="28" w:type="dxa"/>
            </w:tcMar>
            <w:vAlign w:val="center"/>
          </w:tcPr>
          <w:p>
            <w:pPr>
              <w:pStyle w:val="TableContents"/>
              <w:bidi w:val="0"/>
              <w:spacing w:before="0" w:after="283"/>
              <w:jc w:val="right"/>
              <w:rPr>
                <w:sz w:val="20"/>
              </w:rPr>
            </w:pPr>
            <w:r>
              <w:rPr>
                <w:sz w:val="20"/>
              </w:rPr>
              <w:t>(16,150</w:t>
            </w:r>
          </w:p>
        </w:tc>
        <w:tc>
          <w:tcPr>
            <w:tcW w:w="102"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4749" w:type="dxa"/>
            <w:tcBorders/>
            <w:vAlign w:val="center"/>
          </w:tcPr>
          <w:p>
            <w:pPr>
              <w:pStyle w:val="TableContents"/>
              <w:bidi w:val="0"/>
              <w:spacing w:before="0" w:after="283"/>
              <w:jc w:val="both"/>
              <w:rPr>
                <w:b/>
                <w:sz w:val="20"/>
              </w:rPr>
            </w:pPr>
            <w:r>
              <w:rPr>
                <w:b/>
                <w:sz w:val="20"/>
              </w:rPr>
              <w:t>Operating income</w:t>
            </w:r>
          </w:p>
        </w:tc>
        <w:tc>
          <w:tcPr>
            <w:tcW w:w="60" w:type="dxa"/>
            <w:tcBorders/>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160" w:type="dxa"/>
            <w:tcBorders/>
            <w:shd w:fill="F2F2F2" w:val="clear"/>
            <w:vAlign w:val="center"/>
          </w:tcPr>
          <w:p>
            <w:pPr>
              <w:pStyle w:val="TableContents"/>
              <w:bidi w:val="0"/>
              <w:spacing w:before="0" w:after="283"/>
              <w:jc w:val="right"/>
              <w:rPr>
                <w:b/>
                <w:sz w:val="20"/>
              </w:rPr>
            </w:pPr>
            <w:r>
              <w:rPr>
                <w:b/>
                <w:sz w:val="20"/>
              </w:rPr>
              <w:t>494,002</w:t>
            </w:r>
          </w:p>
        </w:tc>
        <w:tc>
          <w:tcPr>
            <w:tcW w:w="102" w:type="dxa"/>
            <w:tcBorders/>
            <w:shd w:fill="F2F2F2" w:val="cle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b/>
                <w:sz w:val="20"/>
              </w:rPr>
            </w:pPr>
            <w:r>
              <w:rPr>
                <w:b/>
                <w:sz w:val="20"/>
              </w:rPr>
              <w:t>582,734</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96" w:type="dxa"/>
            <w:tcBorders/>
            <w:shd w:fill="F2F2F2" w:val="clear"/>
            <w:vAlign w:val="center"/>
          </w:tcPr>
          <w:p>
            <w:pPr>
              <w:pStyle w:val="TableContents"/>
              <w:bidi w:val="0"/>
              <w:spacing w:before="0" w:after="283"/>
              <w:jc w:val="right"/>
              <w:rPr>
                <w:b/>
                <w:sz w:val="20"/>
              </w:rPr>
            </w:pPr>
            <w:r>
              <w:rPr>
                <w:b/>
                <w:sz w:val="20"/>
              </w:rPr>
              <w:t>1,077,866</w:t>
            </w:r>
          </w:p>
        </w:tc>
        <w:tc>
          <w:tcPr>
            <w:tcW w:w="96"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b/>
                <w:sz w:val="20"/>
              </w:rPr>
            </w:pPr>
            <w:r>
              <w:rPr>
                <w:b/>
                <w:sz w:val="20"/>
              </w:rPr>
              <w:t>1,132,647</w:t>
            </w:r>
          </w:p>
        </w:tc>
        <w:tc>
          <w:tcPr>
            <w:tcW w:w="102" w:type="dxa"/>
            <w:tcBorders/>
            <w:shd w:fill="FFFFFF" w:val="clear"/>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both"/>
              <w:rPr>
                <w:sz w:val="20"/>
              </w:rPr>
            </w:pPr>
            <w:r>
              <w:rPr>
                <w:sz w:val="20"/>
              </w:rPr>
              <w:t>Finance income</w:t>
            </w:r>
          </w:p>
        </w:tc>
        <w:tc>
          <w:tcPr>
            <w:tcW w:w="60" w:type="dxa"/>
            <w:tcBorders/>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160" w:type="dxa"/>
            <w:tcBorders/>
            <w:shd w:fill="F2F2F2" w:val="clear"/>
            <w:vAlign w:val="center"/>
          </w:tcPr>
          <w:p>
            <w:pPr>
              <w:pStyle w:val="TableContents"/>
              <w:bidi w:val="0"/>
              <w:spacing w:before="0" w:after="283"/>
              <w:jc w:val="right"/>
              <w:rPr>
                <w:sz w:val="20"/>
              </w:rPr>
            </w:pPr>
            <w:r>
              <w:rPr>
                <w:sz w:val="20"/>
              </w:rPr>
              <w:t>52,970</w:t>
            </w:r>
          </w:p>
        </w:tc>
        <w:tc>
          <w:tcPr>
            <w:tcW w:w="102" w:type="dxa"/>
            <w:tcBorders/>
            <w:shd w:fill="F2F2F2" w:val="cle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sz w:val="20"/>
              </w:rPr>
            </w:pPr>
            <w:r>
              <w:rPr>
                <w:sz w:val="20"/>
              </w:rPr>
              <w:t>63,669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96" w:type="dxa"/>
            <w:tcBorders/>
            <w:shd w:fill="F2F2F2" w:val="clear"/>
            <w:vAlign w:val="center"/>
          </w:tcPr>
          <w:p>
            <w:pPr>
              <w:pStyle w:val="TableContents"/>
              <w:bidi w:val="0"/>
              <w:spacing w:before="0" w:after="283"/>
              <w:jc w:val="right"/>
              <w:rPr>
                <w:sz w:val="20"/>
              </w:rPr>
            </w:pPr>
            <w:r>
              <w:rPr>
                <w:sz w:val="20"/>
              </w:rPr>
              <w:t>117,739</w:t>
            </w:r>
          </w:p>
        </w:tc>
        <w:tc>
          <w:tcPr>
            <w:tcW w:w="96"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sz w:val="20"/>
              </w:rPr>
            </w:pPr>
            <w:r>
              <w:rPr>
                <w:sz w:val="20"/>
              </w:rPr>
              <w:t>142,113</w:t>
            </w:r>
          </w:p>
        </w:tc>
        <w:tc>
          <w:tcPr>
            <w:tcW w:w="102" w:type="dxa"/>
            <w:tcBorders/>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both"/>
              <w:rPr>
                <w:sz w:val="20"/>
              </w:rPr>
            </w:pPr>
            <w:r>
              <w:rPr>
                <w:sz w:val="20"/>
              </w:rPr>
              <w:t>Finance cost</w:t>
            </w:r>
          </w:p>
        </w:tc>
        <w:tc>
          <w:tcPr>
            <w:tcW w:w="60" w:type="dxa"/>
            <w:tcBorders/>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160" w:type="dxa"/>
            <w:tcBorders/>
            <w:shd w:fill="F2F2F2" w:val="clear"/>
            <w:vAlign w:val="center"/>
          </w:tcPr>
          <w:p>
            <w:pPr>
              <w:pStyle w:val="TableContents"/>
              <w:bidi w:val="0"/>
              <w:spacing w:before="0" w:after="283"/>
              <w:jc w:val="right"/>
              <w:rPr>
                <w:sz w:val="20"/>
              </w:rPr>
            </w:pPr>
            <w:r>
              <w:rPr>
                <w:sz w:val="20"/>
              </w:rPr>
              <w:t>(11,906</w:t>
            </w:r>
          </w:p>
        </w:tc>
        <w:tc>
          <w:tcPr>
            <w:tcW w:w="102" w:type="dxa"/>
            <w:tcBorders/>
            <w:shd w:fill="F2F2F2" w:val="clear"/>
            <w:vAlign w:val="center"/>
          </w:tcPr>
          <w:p>
            <w:pPr>
              <w:pStyle w:val="TableContents"/>
              <w:bidi w:val="0"/>
              <w:spacing w:before="0" w:after="283"/>
              <w:jc w:val="left"/>
              <w:rPr>
                <w:sz w:val="20"/>
              </w:rPr>
            </w:pPr>
            <w:r>
              <w:rPr>
                <w:sz w:val="20"/>
              </w:rPr>
              <w:t>)</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sz w:val="20"/>
              </w:rPr>
            </w:pPr>
            <w:r>
              <w:rPr>
                <w:sz w:val="20"/>
              </w:rPr>
              <w:t>(9,712</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96" w:type="dxa"/>
            <w:tcBorders/>
            <w:shd w:fill="F2F2F2" w:val="clear"/>
            <w:vAlign w:val="center"/>
          </w:tcPr>
          <w:p>
            <w:pPr>
              <w:pStyle w:val="TableContents"/>
              <w:bidi w:val="0"/>
              <w:spacing w:before="0" w:after="283"/>
              <w:jc w:val="right"/>
              <w:rPr>
                <w:sz w:val="20"/>
              </w:rPr>
            </w:pPr>
            <w:r>
              <w:rPr>
                <w:sz w:val="20"/>
              </w:rPr>
              <w:t>(23,570</w:t>
            </w:r>
          </w:p>
        </w:tc>
        <w:tc>
          <w:tcPr>
            <w:tcW w:w="96" w:type="dxa"/>
            <w:tcBorders/>
            <w:shd w:fill="F2F2F2" w:val="clear"/>
            <w:vAlign w:val="center"/>
          </w:tcPr>
          <w:p>
            <w:pPr>
              <w:pStyle w:val="TableContents"/>
              <w:bidi w:val="0"/>
              <w:spacing w:before="0" w:after="283"/>
              <w:jc w:val="left"/>
              <w:rPr>
                <w:sz w:val="20"/>
              </w:rPr>
            </w:pPr>
            <w:r>
              <w:rPr>
                <w:sz w:val="20"/>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sz w:val="20"/>
              </w:rPr>
            </w:pPr>
            <w:r>
              <w:rPr>
                <w:sz w:val="20"/>
              </w:rPr>
              <w:t>(21,457</w:t>
            </w:r>
          </w:p>
        </w:tc>
        <w:tc>
          <w:tcPr>
            <w:tcW w:w="102" w:type="dxa"/>
            <w:tcBorders/>
            <w:vAlign w:val="center"/>
          </w:tcPr>
          <w:p>
            <w:pPr>
              <w:pStyle w:val="TableContents"/>
              <w:bidi w:val="0"/>
              <w:spacing w:before="0" w:after="283"/>
              <w:jc w:val="left"/>
              <w:rPr>
                <w:sz w:val="20"/>
              </w:rPr>
            </w:pPr>
            <w:r>
              <w:rPr>
                <w:sz w:val="20"/>
              </w:rPr>
              <w:t>)</w:t>
            </w:r>
          </w:p>
        </w:tc>
      </w:tr>
      <w:tr>
        <w:trPr/>
        <w:tc>
          <w:tcPr>
            <w:tcW w:w="4749" w:type="dxa"/>
            <w:tcBorders/>
            <w:vAlign w:val="center"/>
          </w:tcPr>
          <w:p>
            <w:pPr>
              <w:pStyle w:val="TableContents"/>
              <w:bidi w:val="0"/>
              <w:spacing w:before="0" w:after="283"/>
              <w:jc w:val="both"/>
              <w:rPr>
                <w:sz w:val="20"/>
              </w:rPr>
            </w:pPr>
            <w:r>
              <w:rPr>
                <w:sz w:val="20"/>
              </w:rPr>
              <w:t>Other financial results, net</w:t>
            </w:r>
          </w:p>
        </w:tc>
        <w:tc>
          <w:tcPr>
            <w:tcW w:w="60" w:type="dxa"/>
            <w:tcBorders/>
            <w:vAlign w:val="center"/>
          </w:tcPr>
          <w:p>
            <w:pPr>
              <w:pStyle w:val="TableContents"/>
              <w:bidi w:val="0"/>
              <w:spacing w:before="0" w:after="283"/>
              <w:jc w:val="left"/>
              <w:rPr/>
            </w:pPr>
            <w:r>
              <w:rPr/>
              <w:t> </w:t>
            </w:r>
          </w:p>
        </w:tc>
        <w:tc>
          <w:tcPr>
            <w:tcW w:w="7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(8,956</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right"/>
              <w:rPr>
                <w:sz w:val="20"/>
              </w:rPr>
            </w:pPr>
            <w:r>
              <w:rPr>
                <w:sz w:val="20"/>
              </w:rPr>
              <w:t>(22,294</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(11,662</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tcMar>
              <w:bottom w:w="28" w:type="dxa"/>
            </w:tcMar>
            <w:vAlign w:val="center"/>
          </w:tcPr>
          <w:p>
            <w:pPr>
              <w:pStyle w:val="TableContents"/>
              <w:bidi w:val="0"/>
              <w:spacing w:before="0" w:after="283"/>
              <w:jc w:val="right"/>
              <w:rPr>
                <w:sz w:val="20"/>
              </w:rPr>
            </w:pPr>
            <w:r>
              <w:rPr>
                <w:sz w:val="20"/>
              </w:rPr>
              <w:t>(53,735</w:t>
            </w:r>
          </w:p>
        </w:tc>
        <w:tc>
          <w:tcPr>
            <w:tcW w:w="102"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4749" w:type="dxa"/>
            <w:tcBorders/>
            <w:vAlign w:val="center"/>
          </w:tcPr>
          <w:p>
            <w:pPr>
              <w:pStyle w:val="TableContents"/>
              <w:bidi w:val="0"/>
              <w:spacing w:before="0" w:after="283"/>
              <w:jc w:val="both"/>
              <w:rPr>
                <w:b/>
                <w:sz w:val="20"/>
              </w:rPr>
            </w:pPr>
            <w:r>
              <w:rPr>
                <w:b/>
                <w:sz w:val="20"/>
              </w:rPr>
              <w:t>Income before equity in earnings of non-consolidated companies and income tax</w:t>
            </w:r>
          </w:p>
        </w:tc>
        <w:tc>
          <w:tcPr>
            <w:tcW w:w="60" w:type="dxa"/>
            <w:tcBorders/>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160" w:type="dxa"/>
            <w:tcBorders/>
            <w:shd w:fill="F2F2F2" w:val="clear"/>
            <w:vAlign w:val="center"/>
          </w:tcPr>
          <w:p>
            <w:pPr>
              <w:pStyle w:val="TableContents"/>
              <w:bidi w:val="0"/>
              <w:spacing w:before="0" w:after="283"/>
              <w:jc w:val="right"/>
              <w:rPr>
                <w:b/>
                <w:sz w:val="20"/>
              </w:rPr>
            </w:pPr>
            <w:r>
              <w:rPr>
                <w:b/>
                <w:sz w:val="20"/>
              </w:rPr>
              <w:t>526,110</w:t>
            </w:r>
          </w:p>
        </w:tc>
        <w:tc>
          <w:tcPr>
            <w:tcW w:w="102" w:type="dxa"/>
            <w:tcBorders/>
            <w:shd w:fill="F2F2F2" w:val="cle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b/>
                <w:sz w:val="20"/>
              </w:rPr>
            </w:pPr>
            <w:r>
              <w:rPr>
                <w:b/>
                <w:sz w:val="20"/>
              </w:rPr>
              <w:t>614,397</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96" w:type="dxa"/>
            <w:tcBorders/>
            <w:shd w:fill="F2F2F2" w:val="clear"/>
            <w:vAlign w:val="center"/>
          </w:tcPr>
          <w:p>
            <w:pPr>
              <w:pStyle w:val="TableContents"/>
              <w:bidi w:val="0"/>
              <w:spacing w:before="0" w:after="283"/>
              <w:jc w:val="right"/>
              <w:rPr>
                <w:b/>
                <w:sz w:val="20"/>
              </w:rPr>
            </w:pPr>
            <w:r>
              <w:rPr>
                <w:b/>
                <w:sz w:val="20"/>
              </w:rPr>
              <w:t>1,160,373</w:t>
            </w:r>
          </w:p>
        </w:tc>
        <w:tc>
          <w:tcPr>
            <w:tcW w:w="96"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b/>
                <w:sz w:val="20"/>
              </w:rPr>
            </w:pPr>
            <w:r>
              <w:rPr>
                <w:b/>
                <w:sz w:val="20"/>
              </w:rPr>
              <w:t>1,199,568</w:t>
            </w:r>
          </w:p>
        </w:tc>
        <w:tc>
          <w:tcPr>
            <w:tcW w:w="102" w:type="dxa"/>
            <w:tcBorders/>
            <w:shd w:fill="FFFFFF" w:val="clear"/>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both"/>
              <w:rPr>
                <w:sz w:val="20"/>
              </w:rPr>
            </w:pPr>
            <w:r>
              <w:rPr>
                <w:sz w:val="20"/>
              </w:rPr>
              <w:t>Equity in earnings of non-consolidated companies</w:t>
            </w:r>
          </w:p>
        </w:tc>
        <w:tc>
          <w:tcPr>
            <w:tcW w:w="60" w:type="dxa"/>
            <w:tcBorders/>
            <w:vAlign w:val="center"/>
          </w:tcPr>
          <w:p>
            <w:pPr>
              <w:pStyle w:val="TableContents"/>
              <w:bidi w:val="0"/>
              <w:spacing w:before="0" w:after="283"/>
              <w:jc w:val="left"/>
              <w:rPr/>
            </w:pPr>
            <w:r>
              <w:rPr/>
              <w:t> </w:t>
            </w:r>
          </w:p>
        </w:tc>
        <w:tc>
          <w:tcPr>
            <w:tcW w:w="7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47,963</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right"/>
              <w:rPr>
                <w:sz w:val="20"/>
              </w:rPr>
            </w:pPr>
            <w:r>
              <w:rPr>
                <w:sz w:val="20"/>
              </w:rPr>
              <w:t>32,651</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81,339</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tcMar>
              <w:bottom w:w="28" w:type="dxa"/>
            </w:tcMar>
            <w:vAlign w:val="center"/>
          </w:tcPr>
          <w:p>
            <w:pPr>
              <w:pStyle w:val="TableContents"/>
              <w:bidi w:val="0"/>
              <w:spacing w:before="0" w:after="283"/>
              <w:jc w:val="right"/>
              <w:rPr>
                <w:sz w:val="20"/>
              </w:rPr>
            </w:pPr>
            <w:r>
              <w:rPr>
                <w:sz w:val="20"/>
              </w:rPr>
              <w:t>46,686</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both"/>
              <w:rPr>
                <w:b/>
                <w:sz w:val="20"/>
              </w:rPr>
            </w:pPr>
            <w:r>
              <w:rPr>
                <w:b/>
                <w:sz w:val="20"/>
              </w:rPr>
              <w:t>Income before income tax</w:t>
            </w:r>
          </w:p>
        </w:tc>
        <w:tc>
          <w:tcPr>
            <w:tcW w:w="60" w:type="dxa"/>
            <w:tcBorders/>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160" w:type="dxa"/>
            <w:tcBorders/>
            <w:shd w:fill="F2F2F2" w:val="clear"/>
            <w:vAlign w:val="center"/>
          </w:tcPr>
          <w:p>
            <w:pPr>
              <w:pStyle w:val="TableContents"/>
              <w:bidi w:val="0"/>
              <w:spacing w:before="0" w:after="283"/>
              <w:jc w:val="right"/>
              <w:rPr>
                <w:b/>
                <w:sz w:val="20"/>
              </w:rPr>
            </w:pPr>
            <w:r>
              <w:rPr>
                <w:b/>
                <w:sz w:val="20"/>
              </w:rPr>
              <w:t>574,073</w:t>
            </w:r>
          </w:p>
        </w:tc>
        <w:tc>
          <w:tcPr>
            <w:tcW w:w="102" w:type="dxa"/>
            <w:tcBorders/>
            <w:shd w:fill="F2F2F2" w:val="cle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b/>
                <w:sz w:val="20"/>
              </w:rPr>
            </w:pPr>
            <w:r>
              <w:rPr>
                <w:b/>
                <w:sz w:val="20"/>
              </w:rPr>
              <w:t>647,048</w:t>
            </w:r>
          </w:p>
        </w:tc>
        <w:tc>
          <w:tcPr>
            <w:tcW w:w="8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96" w:type="dxa"/>
            <w:tcBorders/>
            <w:shd w:fill="F2F2F2" w:val="clear"/>
            <w:vAlign w:val="center"/>
          </w:tcPr>
          <w:p>
            <w:pPr>
              <w:pStyle w:val="TableContents"/>
              <w:bidi w:val="0"/>
              <w:spacing w:before="0" w:after="283"/>
              <w:jc w:val="right"/>
              <w:rPr>
                <w:b/>
                <w:sz w:val="20"/>
              </w:rPr>
            </w:pPr>
            <w:r>
              <w:rPr>
                <w:b/>
                <w:sz w:val="20"/>
              </w:rPr>
              <w:t>1,241,712</w:t>
            </w:r>
          </w:p>
        </w:tc>
        <w:tc>
          <w:tcPr>
            <w:tcW w:w="96"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b/>
                <w:sz w:val="20"/>
              </w:rPr>
            </w:pPr>
            <w:r>
              <w:rPr>
                <w:b/>
                <w:sz w:val="20"/>
              </w:rPr>
              <w:t>1,246,254</w:t>
            </w:r>
          </w:p>
        </w:tc>
        <w:tc>
          <w:tcPr>
            <w:tcW w:w="102" w:type="dxa"/>
            <w:tcBorders/>
            <w:shd w:fill="FFFFFF" w:val="clear"/>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both"/>
              <w:rPr>
                <w:sz w:val="20"/>
              </w:rPr>
            </w:pPr>
            <w:r>
              <w:rPr>
                <w:sz w:val="20"/>
              </w:rPr>
              <w:t>Income tax</w:t>
            </w:r>
          </w:p>
        </w:tc>
        <w:tc>
          <w:tcPr>
            <w:tcW w:w="60" w:type="dxa"/>
            <w:tcBorders/>
            <w:vAlign w:val="center"/>
          </w:tcPr>
          <w:p>
            <w:pPr>
              <w:pStyle w:val="TableContents"/>
              <w:bidi w:val="0"/>
              <w:spacing w:before="0" w:after="283"/>
              <w:jc w:val="left"/>
              <w:rPr/>
            </w:pPr>
            <w:r>
              <w:rPr/>
              <w:t> </w:t>
            </w:r>
          </w:p>
        </w:tc>
        <w:tc>
          <w:tcPr>
            <w:tcW w:w="7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(81,938</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right"/>
              <w:rPr>
                <w:sz w:val="20"/>
              </w:rPr>
            </w:pPr>
            <w:r>
              <w:rPr>
                <w:sz w:val="20"/>
              </w:rPr>
              <w:t>(105,342</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(185,419</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tcMar>
              <w:bottom w:w="28" w:type="dxa"/>
            </w:tcMar>
            <w:vAlign w:val="center"/>
          </w:tcPr>
          <w:p>
            <w:pPr>
              <w:pStyle w:val="TableContents"/>
              <w:bidi w:val="0"/>
              <w:spacing w:before="0" w:after="283"/>
              <w:jc w:val="right"/>
              <w:rPr>
                <w:sz w:val="20"/>
              </w:rPr>
            </w:pPr>
            <w:r>
              <w:rPr>
                <w:sz w:val="20"/>
              </w:rPr>
              <w:t>(186,684</w:t>
            </w:r>
          </w:p>
        </w:tc>
        <w:tc>
          <w:tcPr>
            <w:tcW w:w="102"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4749" w:type="dxa"/>
            <w:tcBorders/>
            <w:vAlign w:val="center"/>
          </w:tcPr>
          <w:p>
            <w:pPr>
              <w:pStyle w:val="TableContents"/>
              <w:bidi w:val="0"/>
              <w:spacing w:before="0" w:after="283"/>
              <w:jc w:val="both"/>
              <w:rPr>
                <w:b/>
                <w:sz w:val="20"/>
              </w:rPr>
            </w:pPr>
            <w:r>
              <w:rPr>
                <w:b/>
                <w:sz w:val="20"/>
              </w:rPr>
              <w:t>Income for the period</w:t>
            </w:r>
          </w:p>
        </w:tc>
        <w:tc>
          <w:tcPr>
            <w:tcW w:w="60" w:type="dxa"/>
            <w:tcBorders/>
            <w:vAlign w:val="center"/>
          </w:tcPr>
          <w:p>
            <w:pPr>
              <w:pStyle w:val="TableContents"/>
              <w:bidi w:val="0"/>
              <w:spacing w:before="0" w:after="283"/>
              <w:jc w:val="left"/>
              <w:rPr/>
            </w:pPr>
            <w:r>
              <w:rPr/>
              <w:t> </w:t>
            </w:r>
          </w:p>
        </w:tc>
        <w:tc>
          <w:tcPr>
            <w:tcW w:w="7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492,135</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541,706</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1,056,293</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1,059,570</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160" w:type="dxa"/>
            <w:tcBorders/>
            <w:shd w:fill="F2F2F2" w:val="clear"/>
            <w:vAlign w:val="center"/>
          </w:tcPr>
          <w:p>
            <w:pPr>
              <w:pStyle w:val="TableContents"/>
              <w:bidi w:val="0"/>
              <w:spacing w:before="0" w:after="283"/>
              <w:jc w:val="right"/>
              <w:rPr/>
            </w:pPr>
            <w:r>
              <w:rPr/>
              <w:t> </w:t>
            </w:r>
          </w:p>
        </w:tc>
        <w:tc>
          <w:tcPr>
            <w:tcW w:w="102" w:type="dxa"/>
            <w:tcBorders/>
            <w:shd w:fill="F2F2F2" w:val="cle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96" w:type="dxa"/>
            <w:tcBorders/>
            <w:shd w:fill="F2F2F2" w:val="clear"/>
            <w:vAlign w:val="center"/>
          </w:tcPr>
          <w:p>
            <w:pPr>
              <w:pStyle w:val="TableContents"/>
              <w:bidi w:val="0"/>
              <w:spacing w:before="0" w:after="283"/>
              <w:jc w:val="right"/>
              <w:rPr/>
            </w:pPr>
            <w:r>
              <w:rPr/>
              <w:t> </w:t>
            </w:r>
          </w:p>
        </w:tc>
        <w:tc>
          <w:tcPr>
            <w:tcW w:w="96"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both"/>
              <w:rPr>
                <w:b/>
                <w:sz w:val="20"/>
              </w:rPr>
            </w:pPr>
            <w:r>
              <w:rPr>
                <w:b/>
                <w:sz w:val="20"/>
              </w:rPr>
              <w:t>Attributable to:</w:t>
            </w:r>
          </w:p>
        </w:tc>
        <w:tc>
          <w:tcPr>
            <w:tcW w:w="60" w:type="dxa"/>
            <w:tcBorders/>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160" w:type="dxa"/>
            <w:tcBorders/>
            <w:shd w:fill="F2F2F2" w:val="clear"/>
            <w:vAlign w:val="center"/>
          </w:tcPr>
          <w:p>
            <w:pPr>
              <w:pStyle w:val="TableContents"/>
              <w:bidi w:val="0"/>
              <w:spacing w:before="0" w:after="283"/>
              <w:jc w:val="right"/>
              <w:rPr/>
            </w:pPr>
            <w:r>
              <w:rPr/>
              <w:t> </w:t>
            </w:r>
          </w:p>
        </w:tc>
        <w:tc>
          <w:tcPr>
            <w:tcW w:w="102" w:type="dxa"/>
            <w:tcBorders/>
            <w:shd w:fill="F2F2F2" w:val="cle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96" w:type="dxa"/>
            <w:tcBorders/>
            <w:shd w:fill="F2F2F2" w:val="clear"/>
            <w:vAlign w:val="center"/>
          </w:tcPr>
          <w:p>
            <w:pPr>
              <w:pStyle w:val="TableContents"/>
              <w:bidi w:val="0"/>
              <w:spacing w:before="0" w:after="283"/>
              <w:jc w:val="right"/>
              <w:rPr/>
            </w:pPr>
            <w:r>
              <w:rPr/>
              <w:t> </w:t>
            </w:r>
          </w:p>
        </w:tc>
        <w:tc>
          <w:tcPr>
            <w:tcW w:w="96"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both"/>
              <w:rPr>
                <w:sz w:val="20"/>
              </w:rPr>
            </w:pPr>
            <w:r>
              <w:rPr>
                <w:sz w:val="20"/>
              </w:rPr>
              <w:t>Shareholders' equity</w:t>
            </w:r>
          </w:p>
        </w:tc>
        <w:tc>
          <w:tcPr>
            <w:tcW w:w="60" w:type="dxa"/>
            <w:tcBorders/>
            <w:vAlign w:val="center"/>
          </w:tcPr>
          <w:p>
            <w:pPr>
              <w:pStyle w:val="TableContents"/>
              <w:bidi w:val="0"/>
              <w:spacing w:before="0" w:after="283"/>
              <w:jc w:val="left"/>
              <w:rPr/>
            </w:pPr>
            <w:r>
              <w:rPr/>
              <w:t> </w:t>
            </w:r>
          </w:p>
        </w:tc>
        <w:tc>
          <w:tcPr>
            <w:tcW w:w="76" w:type="dxa"/>
            <w:tcBorders/>
            <w:shd w:fill="F2F2F2" w:val="clear"/>
            <w:vAlign w:val="center"/>
          </w:tcPr>
          <w:p>
            <w:pPr>
              <w:pStyle w:val="TableContents"/>
              <w:bidi w:val="0"/>
              <w:spacing w:before="0" w:after="283"/>
              <w:jc w:val="left"/>
              <w:rPr/>
            </w:pPr>
            <w:r>
              <w:rPr/>
              <w:t> </w:t>
            </w:r>
          </w:p>
        </w:tc>
        <w:tc>
          <w:tcPr>
            <w:tcW w:w="1160" w:type="dxa"/>
            <w:tcBorders/>
            <w:shd w:fill="F2F2F2" w:val="clear"/>
            <w:vAlign w:val="center"/>
          </w:tcPr>
          <w:p>
            <w:pPr>
              <w:pStyle w:val="TableContents"/>
              <w:bidi w:val="0"/>
              <w:spacing w:before="0" w:after="283"/>
              <w:jc w:val="right"/>
              <w:rPr>
                <w:sz w:val="20"/>
              </w:rPr>
            </w:pPr>
            <w:r>
              <w:rPr>
                <w:sz w:val="20"/>
              </w:rPr>
              <w:t>477,137</w:t>
            </w:r>
          </w:p>
        </w:tc>
        <w:tc>
          <w:tcPr>
            <w:tcW w:w="102" w:type="dxa"/>
            <w:tcBorders/>
            <w:shd w:fill="F2F2F2" w:val="cle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sz w:val="20"/>
              </w:rPr>
            </w:pPr>
            <w:r>
              <w:rPr>
                <w:sz w:val="20"/>
              </w:rPr>
              <w:t>531,323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96" w:type="dxa"/>
            <w:tcBorders/>
            <w:shd w:fill="F2F2F2" w:val="clear"/>
            <w:vAlign w:val="center"/>
          </w:tcPr>
          <w:p>
            <w:pPr>
              <w:pStyle w:val="TableContents"/>
              <w:bidi w:val="0"/>
              <w:spacing w:before="0" w:after="283"/>
              <w:jc w:val="right"/>
              <w:rPr>
                <w:sz w:val="20"/>
              </w:rPr>
            </w:pPr>
            <w:r>
              <w:rPr>
                <w:sz w:val="20"/>
              </w:rPr>
              <w:t>1,017,838</w:t>
            </w:r>
          </w:p>
        </w:tc>
        <w:tc>
          <w:tcPr>
            <w:tcW w:w="96"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sz w:val="20"/>
              </w:rPr>
            </w:pPr>
            <w:r>
              <w:rPr>
                <w:sz w:val="20"/>
              </w:rPr>
              <w:t>1,038,254</w:t>
            </w:r>
          </w:p>
        </w:tc>
        <w:tc>
          <w:tcPr>
            <w:tcW w:w="102" w:type="dxa"/>
            <w:tcBorders/>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both"/>
              <w:rPr>
                <w:sz w:val="20"/>
              </w:rPr>
            </w:pPr>
            <w:r>
              <w:rPr>
                <w:sz w:val="20"/>
              </w:rPr>
              <w:t>Non-controlling interests</w:t>
            </w:r>
          </w:p>
        </w:tc>
        <w:tc>
          <w:tcPr>
            <w:tcW w:w="60" w:type="dxa"/>
            <w:tcBorders/>
            <w:vAlign w:val="center"/>
          </w:tcPr>
          <w:p>
            <w:pPr>
              <w:pStyle w:val="TableContents"/>
              <w:bidi w:val="0"/>
              <w:spacing w:before="0" w:after="283"/>
              <w:jc w:val="left"/>
              <w:rPr/>
            </w:pPr>
            <w:r>
              <w:rPr/>
              <w:t> </w:t>
            </w:r>
          </w:p>
        </w:tc>
        <w:tc>
          <w:tcPr>
            <w:tcW w:w="7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14,998</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right"/>
              <w:rPr>
                <w:sz w:val="20"/>
              </w:rPr>
            </w:pPr>
            <w:r>
              <w:rPr>
                <w:sz w:val="20"/>
              </w:rPr>
              <w:t>10,383</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38,455</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tcMar>
              <w:bottom w:w="28" w:type="dxa"/>
            </w:tcMar>
            <w:vAlign w:val="center"/>
          </w:tcPr>
          <w:p>
            <w:pPr>
              <w:pStyle w:val="TableContents"/>
              <w:bidi w:val="0"/>
              <w:spacing w:before="0" w:after="283"/>
              <w:jc w:val="right"/>
              <w:rPr>
                <w:sz w:val="20"/>
              </w:rPr>
            </w:pPr>
            <w:r>
              <w:rPr>
                <w:sz w:val="20"/>
              </w:rPr>
              <w:t>21,316</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492,135</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541,706</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1,056,293</w:t>
            </w:r>
          </w:p>
        </w:tc>
        <w:tc>
          <w:tcPr>
            <w:tcW w:w="9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1,059,570</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drawing>
          <wp:inline distT="0" distB="0" distL="0" distR="0">
            <wp:extent cx="198120" cy="18288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98120" cy="182880"/>
                    </a:xfrm>
                    <a:prstGeom prst="rect">
                      <a:avLst/>
                    </a:prstGeom>
                  </pic:spPr>
                </pic:pic>
              </a:graphicData>
            </a:graphic>
          </wp:inline>
        </w:drawing>
      </w:r>
      <w:r>
        <w:rPr/>
        <w:t>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b/>
          <w:color w:val="009900"/>
          <w:sz w:val="20"/>
        </w:rPr>
      </w:pPr>
      <w:r>
        <w:rPr>
          <w:b/>
          <w:color w:val="009900"/>
          <w:sz w:val="20"/>
        </w:rPr>
        <w:t>Consolidated Condensed Interim Statement of Financial Position</w:t>
      </w:r>
    </w:p>
    <w:p>
      <w:pPr>
        <w:pStyle w:val="TextBody"/>
        <w:bidi w:val="0"/>
        <w:spacing w:before="0" w:after="0"/>
        <w:ind w:left="0" w:right="0" w:hanging="0"/>
        <w:jc w:val="left"/>
        <w:rPr/>
      </w:pPr>
      <w:r>
        <w:rPr/>
        <w:t> </w:t>
      </w:r>
    </w:p>
    <w:tbl>
      <w:tblPr>
        <w:tblW w:w="7750" w:type="dxa"/>
        <w:jc w:val="left"/>
        <w:tblInd w:w="0" w:type="dxa"/>
        <w:tblLayout w:type="fixed"/>
        <w:tblCellMar>
          <w:top w:w="0" w:type="dxa"/>
          <w:left w:w="0" w:type="dxa"/>
          <w:bottom w:w="0" w:type="dxa"/>
          <w:right w:w="0" w:type="dxa"/>
        </w:tblCellMar>
      </w:tblPr>
      <w:tblGrid>
        <w:gridCol w:w="3605"/>
        <w:gridCol w:w="60"/>
        <w:gridCol w:w="60"/>
        <w:gridCol w:w="845"/>
        <w:gridCol w:w="60"/>
        <w:gridCol w:w="60"/>
        <w:gridCol w:w="950"/>
        <w:gridCol w:w="60"/>
        <w:gridCol w:w="60"/>
        <w:gridCol w:w="845"/>
        <w:gridCol w:w="60"/>
        <w:gridCol w:w="60"/>
        <w:gridCol w:w="950"/>
        <w:gridCol w:w="75"/>
      </w:tblGrid>
      <w:tr>
        <w:trPr/>
        <w:tc>
          <w:tcPr>
            <w:tcW w:w="3605" w:type="dxa"/>
            <w:tcBorders/>
            <w:vAlign w:val="center"/>
          </w:tcPr>
          <w:p>
            <w:pPr>
              <w:pStyle w:val="TableContents"/>
              <w:bidi w:val="0"/>
              <w:spacing w:before="0" w:after="283"/>
              <w:jc w:val="left"/>
              <w:rPr>
                <w:sz w:val="20"/>
              </w:rPr>
            </w:pPr>
            <w:r>
              <w:rPr>
                <w:sz w:val="20"/>
              </w:rPr>
              <w:t>(all amounts in thousands of U.S. dollars)</w:t>
            </w:r>
          </w:p>
        </w:tc>
        <w:tc>
          <w:tcPr>
            <w:tcW w:w="60" w:type="dxa"/>
            <w:tcBorders/>
            <w:vAlign w:val="center"/>
          </w:tcPr>
          <w:p>
            <w:pPr>
              <w:pStyle w:val="TableContents"/>
              <w:bidi w:val="0"/>
              <w:spacing w:before="0" w:after="283"/>
              <w:jc w:val="left"/>
              <w:rPr/>
            </w:pPr>
            <w:r>
              <w:rPr/>
              <w:t> </w:t>
            </w:r>
          </w:p>
        </w:tc>
        <w:tc>
          <w:tcPr>
            <w:tcW w:w="1975" w:type="dxa"/>
            <w:gridSpan w:val="5"/>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At June 30, 2026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975"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At December 31, 2025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5" w:type="dxa"/>
            <w:gridSpan w:val="5"/>
            <w:tcBorders/>
            <w:vAlign w:val="center"/>
          </w:tcPr>
          <w:p>
            <w:pPr>
              <w:pStyle w:val="TableContents"/>
              <w:bidi w:val="0"/>
              <w:spacing w:before="0" w:after="283"/>
              <w:jc w:val="center"/>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1975" w:type="dxa"/>
            <w:gridSpan w:val="5"/>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ASSETS</w:t>
            </w:r>
          </w:p>
        </w:tc>
        <w:tc>
          <w:tcPr>
            <w:tcW w:w="60" w:type="dxa"/>
            <w:tcBorders/>
            <w:vAlign w:val="center"/>
          </w:tcPr>
          <w:p>
            <w:pPr>
              <w:pStyle w:val="TableContents"/>
              <w:bidi w:val="0"/>
              <w:spacing w:before="0" w:after="283"/>
              <w:jc w:val="left"/>
              <w:rPr/>
            </w:pPr>
            <w:r>
              <w:rPr/>
              <w:t> </w:t>
            </w:r>
          </w:p>
        </w:tc>
        <w:tc>
          <w:tcPr>
            <w:tcW w:w="905" w:type="dxa"/>
            <w:gridSpan w:val="2"/>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1010" w:type="dxa"/>
            <w:gridSpan w:val="2"/>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Non-current assets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Property, plant and equipment, net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6,147,589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6,205,082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Intangible assets, net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1,355,974</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1,357,116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Right-of-use assets, net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147,129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144,557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Investments in non-consolidated companies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1,619,204</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1,561,212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Other investments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1,089,080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758,085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Deferred tax assets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813,183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834,168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Receivables, net</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116,296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11,288,455</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139,211</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10,999,431</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Current assets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Inventories, net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3,716,159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3,602,058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Receivables and prepayments, net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168,406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268,798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Current tax assets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383,643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364,640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Contract assets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29,537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35,264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Trade receivables, net</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1,927,777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1,920,840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Derivative financial instruments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14,570</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Other investments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2,225,725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2,306,760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Cash and cash equivalents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557,057</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9,022,874</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572,647</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9,072,882</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assets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20,311,329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20,072,313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EQUITY</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Shareholders' equity</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16,962,791</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16,599,191</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Non-controlling interests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255,872</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229,877</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equity</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17,218,663</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16,829,068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Non-current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Borrowings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357</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Lease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98,226</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94,903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Derivative financial instruments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207</w:t>
            </w:r>
          </w:p>
        </w:tc>
        <w:tc>
          <w:tcPr>
            <w:tcW w:w="6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Deferred tax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395,239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442,248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Other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321,569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310,707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Provisions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59,429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874,820</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48,418</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896,851</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Current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Borrowings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301,534</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305,354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Lease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46,833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48,346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Derivative financial instruments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5,363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14,123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Current tax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270,253</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386,586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Other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443,284</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377,088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Provisions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155,029</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173,152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Customer advances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129,925</w:t>
            </w:r>
          </w:p>
        </w:tc>
        <w:tc>
          <w:tcPr>
            <w:tcW w:w="60" w:type="dxa"/>
            <w:tcBorders/>
            <w:shd w:fill="F2F2F2" w:val="cle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168,832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sz w:val="20"/>
              </w:rPr>
            </w:pPr>
            <w:r>
              <w:rPr>
                <w:sz w:val="20"/>
              </w:rPr>
              <w:t>Trade payables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865,625</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2,217,846</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872,913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2,346,394</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3,092,666</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3,243,245</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b/>
                <w:sz w:val="20"/>
              </w:rPr>
            </w:pPr>
            <w:r>
              <w:rPr>
                <w:b/>
                <w:sz w:val="20"/>
              </w:rPr>
              <w:t>Total equity and liabilities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pPr>
            <w:r>
              <w:rPr/>
              <w:t> </w:t>
            </w:r>
          </w:p>
        </w:tc>
        <w:tc>
          <w:tcPr>
            <w:tcW w:w="60" w:type="dxa"/>
            <w:tcBorders/>
            <w:shd w:fill="F2F2F2" w:val="clear"/>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20,311,329</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20,072,313</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drawing>
          <wp:inline distT="0" distB="0" distL="0" distR="0">
            <wp:extent cx="198120" cy="18288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98120" cy="182880"/>
                    </a:xfrm>
                    <a:prstGeom prst="rect">
                      <a:avLst/>
                    </a:prstGeom>
                  </pic:spPr>
                </pic:pic>
              </a:graphicData>
            </a:graphic>
          </wp:inline>
        </w:drawing>
      </w:r>
      <w:r>
        <w:rPr/>
        <w:t>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b/>
          <w:color w:val="009900"/>
          <w:sz w:val="20"/>
        </w:rPr>
      </w:pPr>
      <w:r>
        <w:rPr>
          <w:b/>
          <w:color w:val="009900"/>
          <w:sz w:val="20"/>
        </w:rPr>
        <w:t>Consolidated Condensed Interim Statement of Cash Flows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907"/>
        <w:gridCol w:w="60"/>
        <w:gridCol w:w="81"/>
        <w:gridCol w:w="1155"/>
        <w:gridCol w:w="108"/>
        <w:gridCol w:w="81"/>
        <w:gridCol w:w="81"/>
        <w:gridCol w:w="1032"/>
        <w:gridCol w:w="80"/>
        <w:gridCol w:w="60"/>
        <w:gridCol w:w="72"/>
        <w:gridCol w:w="1035"/>
        <w:gridCol w:w="97"/>
        <w:gridCol w:w="72"/>
        <w:gridCol w:w="72"/>
        <w:gridCol w:w="1108"/>
        <w:gridCol w:w="104"/>
      </w:tblGrid>
      <w:tr>
        <w:trPr/>
        <w:tc>
          <w:tcPr>
            <w:tcW w:w="4907" w:type="dxa"/>
            <w:tcBorders/>
            <w:vAlign w:val="center"/>
          </w:tcPr>
          <w:p>
            <w:pPr>
              <w:pStyle w:val="TableContents"/>
              <w:bidi w:val="0"/>
              <w:spacing w:before="0" w:after="283"/>
              <w:jc w:val="left"/>
              <w:rPr>
                <w:sz w:val="20"/>
              </w:rPr>
            </w:pPr>
            <w:r>
              <w:rPr>
                <w:sz w:val="20"/>
              </w:rPr>
              <w:t>(all amounts in thousands of U.S. dollars)</w:t>
            </w:r>
          </w:p>
        </w:tc>
        <w:tc>
          <w:tcPr>
            <w:tcW w:w="60" w:type="dxa"/>
            <w:tcBorders/>
            <w:vAlign w:val="center"/>
          </w:tcPr>
          <w:p>
            <w:pPr>
              <w:pStyle w:val="TableContents"/>
              <w:bidi w:val="0"/>
              <w:spacing w:before="0" w:after="283"/>
              <w:jc w:val="left"/>
              <w:rPr/>
            </w:pPr>
            <w:r>
              <w:rPr/>
              <w:t> </w:t>
            </w:r>
          </w:p>
        </w:tc>
        <w:tc>
          <w:tcPr>
            <w:tcW w:w="253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Three-month period ended June 30,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5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Six-month period ended June 30,</w:t>
            </w:r>
          </w:p>
        </w:tc>
        <w:tc>
          <w:tcPr>
            <w:tcW w:w="10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6"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0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7"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9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0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8" w:type="dxa"/>
            <w:gridSpan w:val="6"/>
            <w:tcBorders/>
            <w:vAlign w:val="center"/>
          </w:tcPr>
          <w:p>
            <w:pPr>
              <w:pStyle w:val="TableContents"/>
              <w:bidi w:val="0"/>
              <w:spacing w:before="0" w:after="283"/>
              <w:jc w:val="center"/>
              <w:rPr>
                <w:b/>
                <w:sz w:val="20"/>
              </w:rPr>
            </w:pPr>
            <w:r>
              <w:rPr>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6" w:type="dxa"/>
            <w:gridSpan w:val="6"/>
            <w:tcBorders/>
            <w:vAlign w:val="center"/>
          </w:tcPr>
          <w:p>
            <w:pPr>
              <w:pStyle w:val="TableContents"/>
              <w:bidi w:val="0"/>
              <w:spacing w:before="0" w:after="283"/>
              <w:jc w:val="center"/>
              <w:rPr>
                <w:b/>
                <w:sz w:val="20"/>
              </w:rPr>
            </w:pPr>
            <w:r>
              <w:rPr>
                <w:b/>
                <w:sz w:val="20"/>
              </w:rPr>
              <w:t>(Unaudited)</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both"/>
              <w:rPr>
                <w:b/>
                <w:sz w:val="20"/>
              </w:rPr>
            </w:pPr>
            <w:r>
              <w:rPr>
                <w:b/>
                <w:sz w:val="20"/>
              </w:rPr>
              <w:t>Cash flows from operating activities</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right"/>
              <w:rPr/>
            </w:pPr>
            <w:r>
              <w:rPr/>
              <w:t> </w:t>
            </w:r>
          </w:p>
        </w:tc>
        <w:tc>
          <w:tcPr>
            <w:tcW w:w="10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both"/>
              <w:rPr>
                <w:b/>
                <w:sz w:val="20"/>
              </w:rPr>
            </w:pPr>
            <w:r>
              <w:rPr>
                <w:b/>
                <w:sz w:val="20"/>
              </w:rPr>
              <w:t>Income for the period</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b/>
                <w:sz w:val="20"/>
              </w:rPr>
            </w:pPr>
            <w:r>
              <w:rPr>
                <w:b/>
                <w:sz w:val="20"/>
              </w:rPr>
              <w:t>492,135</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b/>
                <w:sz w:val="20"/>
              </w:rPr>
            </w:pPr>
            <w:r>
              <w:rPr>
                <w:b/>
                <w:sz w:val="20"/>
              </w:rPr>
              <w:t>541,706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b/>
                <w:sz w:val="20"/>
              </w:rPr>
            </w:pPr>
            <w:r>
              <w:rPr>
                <w:b/>
                <w:sz w:val="20"/>
              </w:rPr>
              <w:t>1,056,293</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b/>
                <w:sz w:val="20"/>
              </w:rPr>
            </w:pPr>
            <w:r>
              <w:rPr>
                <w:b/>
                <w:sz w:val="20"/>
              </w:rPr>
              <w:t>1,059,570</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both"/>
              <w:rPr>
                <w:sz w:val="20"/>
              </w:rPr>
            </w:pPr>
            <w:r>
              <w:rPr>
                <w:sz w:val="20"/>
              </w:rPr>
              <w:t>Adjustments for:</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pPr>
            <w:r>
              <w:rPr/>
              <w:t> </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pPr>
            <w:r>
              <w:rPr/>
              <w:t> </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both"/>
              <w:rPr>
                <w:sz w:val="20"/>
              </w:rPr>
            </w:pPr>
            <w:r>
              <w:rPr>
                <w:sz w:val="20"/>
              </w:rPr>
              <w:t>Depreciation and amortization</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155,329</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150,002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306,769</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296,408</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both"/>
              <w:rPr>
                <w:sz w:val="20"/>
              </w:rPr>
            </w:pPr>
            <w:r>
              <w:rPr>
                <w:sz w:val="20"/>
              </w:rPr>
              <w:t>Provision for the ongoing litigation related to the acquisition of participation in Usiminas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5,291</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8,650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15,641</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18,527</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both"/>
              <w:rPr>
                <w:sz w:val="20"/>
              </w:rPr>
            </w:pPr>
            <w:r>
              <w:rPr>
                <w:sz w:val="20"/>
              </w:rPr>
              <w:t>Income tax accruals less payments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(99,486</w:t>
            </w:r>
          </w:p>
        </w:tc>
        <w:tc>
          <w:tcPr>
            <w:tcW w:w="108" w:type="dxa"/>
            <w:tcBorders/>
            <w:shd w:fill="F2F2F2" w:val="clear"/>
            <w:vAlign w:val="center"/>
          </w:tcPr>
          <w:p>
            <w:pPr>
              <w:pStyle w:val="TableContents"/>
              <w:bidi w:val="0"/>
              <w:spacing w:before="0" w:after="283"/>
              <w:jc w:val="left"/>
              <w:rPr>
                <w:sz w:val="20"/>
              </w:rPr>
            </w:pPr>
            <w:r>
              <w:rPr>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(36,660</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(98,440</w:t>
            </w:r>
          </w:p>
        </w:tc>
        <w:tc>
          <w:tcPr>
            <w:tcW w:w="97" w:type="dxa"/>
            <w:tcBorders/>
            <w:shd w:fill="F2F2F2" w:val="clear"/>
            <w:vAlign w:val="center"/>
          </w:tcPr>
          <w:p>
            <w:pPr>
              <w:pStyle w:val="TableContents"/>
              <w:bidi w:val="0"/>
              <w:spacing w:before="0" w:after="283"/>
              <w:jc w:val="left"/>
              <w:rPr>
                <w:sz w:val="20"/>
              </w:rPr>
            </w:pPr>
            <w:r>
              <w:rPr>
                <w:sz w:val="20"/>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(90,793</w:t>
            </w:r>
          </w:p>
        </w:tc>
        <w:tc>
          <w:tcPr>
            <w:tcW w:w="104" w:type="dxa"/>
            <w:tcBorders/>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left"/>
              <w:rPr>
                <w:sz w:val="20"/>
              </w:rPr>
            </w:pPr>
            <w:r>
              <w:rPr>
                <w:sz w:val="20"/>
              </w:rPr>
              <w:t>Equity in earnings of non-consolidated companies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(47,963</w:t>
            </w:r>
          </w:p>
        </w:tc>
        <w:tc>
          <w:tcPr>
            <w:tcW w:w="108" w:type="dxa"/>
            <w:tcBorders/>
            <w:shd w:fill="F2F2F2" w:val="clear"/>
            <w:vAlign w:val="center"/>
          </w:tcPr>
          <w:p>
            <w:pPr>
              <w:pStyle w:val="TableContents"/>
              <w:bidi w:val="0"/>
              <w:spacing w:before="0" w:after="283"/>
              <w:jc w:val="left"/>
              <w:rPr>
                <w:sz w:val="20"/>
              </w:rPr>
            </w:pPr>
            <w:r>
              <w:rPr>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(32,651</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(81,339</w:t>
            </w:r>
          </w:p>
        </w:tc>
        <w:tc>
          <w:tcPr>
            <w:tcW w:w="97" w:type="dxa"/>
            <w:tcBorders/>
            <w:shd w:fill="F2F2F2" w:val="clear"/>
            <w:vAlign w:val="center"/>
          </w:tcPr>
          <w:p>
            <w:pPr>
              <w:pStyle w:val="TableContents"/>
              <w:bidi w:val="0"/>
              <w:spacing w:before="0" w:after="283"/>
              <w:jc w:val="left"/>
              <w:rPr>
                <w:sz w:val="20"/>
              </w:rPr>
            </w:pPr>
            <w:r>
              <w:rPr>
                <w:sz w:val="20"/>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(46,686</w:t>
            </w:r>
          </w:p>
        </w:tc>
        <w:tc>
          <w:tcPr>
            <w:tcW w:w="104" w:type="dxa"/>
            <w:tcBorders/>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both"/>
              <w:rPr>
                <w:sz w:val="20"/>
              </w:rPr>
            </w:pPr>
            <w:r>
              <w:rPr>
                <w:sz w:val="20"/>
              </w:rPr>
              <w:t>Interest accruals less payments/collections, net</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(5,983</w:t>
            </w:r>
          </w:p>
        </w:tc>
        <w:tc>
          <w:tcPr>
            <w:tcW w:w="108" w:type="dxa"/>
            <w:tcBorders/>
            <w:shd w:fill="F2F2F2" w:val="clear"/>
            <w:vAlign w:val="center"/>
          </w:tcPr>
          <w:p>
            <w:pPr>
              <w:pStyle w:val="TableContents"/>
              <w:bidi w:val="0"/>
              <w:spacing w:before="0" w:after="283"/>
              <w:jc w:val="left"/>
              <w:rPr>
                <w:sz w:val="20"/>
              </w:rPr>
            </w:pPr>
            <w:r>
              <w:rPr>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(4,616</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17,083</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(13,039</w:t>
            </w:r>
          </w:p>
        </w:tc>
        <w:tc>
          <w:tcPr>
            <w:tcW w:w="104" w:type="dxa"/>
            <w:tcBorders/>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both"/>
              <w:rPr>
                <w:sz w:val="20"/>
              </w:rPr>
            </w:pPr>
            <w:r>
              <w:rPr>
                <w:sz w:val="20"/>
              </w:rPr>
              <w:t>Changes in provisions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(16,036</w:t>
            </w:r>
          </w:p>
        </w:tc>
        <w:tc>
          <w:tcPr>
            <w:tcW w:w="108" w:type="dxa"/>
            <w:tcBorders/>
            <w:shd w:fill="F2F2F2" w:val="clear"/>
            <w:vAlign w:val="center"/>
          </w:tcPr>
          <w:p>
            <w:pPr>
              <w:pStyle w:val="TableContents"/>
              <w:bidi w:val="0"/>
              <w:spacing w:before="0" w:after="283"/>
              <w:jc w:val="left"/>
              <w:rPr>
                <w:sz w:val="20"/>
              </w:rPr>
            </w:pPr>
            <w:r>
              <w:rPr>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628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(22,753</w:t>
            </w:r>
          </w:p>
        </w:tc>
        <w:tc>
          <w:tcPr>
            <w:tcW w:w="97" w:type="dxa"/>
            <w:tcBorders/>
            <w:shd w:fill="F2F2F2" w:val="clear"/>
            <w:vAlign w:val="center"/>
          </w:tcPr>
          <w:p>
            <w:pPr>
              <w:pStyle w:val="TableContents"/>
              <w:bidi w:val="0"/>
              <w:spacing w:before="0" w:after="283"/>
              <w:jc w:val="left"/>
              <w:rPr>
                <w:sz w:val="20"/>
              </w:rPr>
            </w:pPr>
            <w:r>
              <w:rPr>
                <w:sz w:val="20"/>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(1,765</w:t>
            </w:r>
          </w:p>
        </w:tc>
        <w:tc>
          <w:tcPr>
            <w:tcW w:w="104" w:type="dxa"/>
            <w:tcBorders/>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both"/>
              <w:rPr>
                <w:sz w:val="20"/>
              </w:rPr>
            </w:pPr>
            <w:r>
              <w:rPr>
                <w:sz w:val="20"/>
              </w:rPr>
              <w:t>Changes in working capital</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37</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26,499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(83,720</w:t>
            </w:r>
          </w:p>
        </w:tc>
        <w:tc>
          <w:tcPr>
            <w:tcW w:w="97" w:type="dxa"/>
            <w:tcBorders/>
            <w:shd w:fill="F2F2F2" w:val="clear"/>
            <w:vAlign w:val="center"/>
          </w:tcPr>
          <w:p>
            <w:pPr>
              <w:pStyle w:val="TableContents"/>
              <w:bidi w:val="0"/>
              <w:spacing w:before="0" w:after="283"/>
              <w:jc w:val="left"/>
              <w:rPr>
                <w:sz w:val="20"/>
              </w:rPr>
            </w:pPr>
            <w:r>
              <w:rPr>
                <w:sz w:val="20"/>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250,316</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left"/>
              <w:rPr>
                <w:sz w:val="20"/>
              </w:rPr>
            </w:pPr>
            <w:r>
              <w:rPr>
                <w:sz w:val="20"/>
              </w:rPr>
              <w:t>Others, including net foreign exchange</w:t>
            </w:r>
          </w:p>
        </w:tc>
        <w:tc>
          <w:tcPr>
            <w:tcW w:w="60" w:type="dxa"/>
            <w:tcBorders/>
            <w:vAlign w:val="center"/>
          </w:tcPr>
          <w:p>
            <w:pPr>
              <w:pStyle w:val="TableContents"/>
              <w:bidi w:val="0"/>
              <w:spacing w:before="0" w:after="283"/>
              <w:jc w:val="left"/>
              <w:rPr/>
            </w:pPr>
            <w:r>
              <w:rPr/>
              <w:t> </w:t>
            </w:r>
          </w:p>
        </w:tc>
        <w:tc>
          <w:tcPr>
            <w:tcW w:w="8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34,201</w:t>
            </w:r>
          </w:p>
        </w:tc>
        <w:tc>
          <w:tcPr>
            <w:tcW w:w="10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19,589</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25,636</w:t>
            </w:r>
          </w:p>
        </w:tc>
        <w:tc>
          <w:tcPr>
            <w:tcW w:w="9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tcMar>
              <w:bottom w:w="28" w:type="dxa"/>
            </w:tcMar>
            <w:vAlign w:val="center"/>
          </w:tcPr>
          <w:p>
            <w:pPr>
              <w:pStyle w:val="TableContents"/>
              <w:bidi w:val="0"/>
              <w:spacing w:before="0" w:after="283"/>
              <w:jc w:val="right"/>
              <w:rPr>
                <w:sz w:val="20"/>
              </w:rPr>
            </w:pPr>
            <w:r>
              <w:rPr>
                <w:sz w:val="20"/>
              </w:rPr>
              <w:t>21,609</w:t>
            </w:r>
          </w:p>
        </w:tc>
        <w:tc>
          <w:tcPr>
            <w:tcW w:w="10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both"/>
              <w:rPr>
                <w:b/>
                <w:sz w:val="20"/>
              </w:rPr>
            </w:pPr>
            <w:r>
              <w:rPr>
                <w:b/>
                <w:sz w:val="20"/>
              </w:rPr>
              <w:t>Net cash provided by operating activities</w:t>
            </w:r>
          </w:p>
        </w:tc>
        <w:tc>
          <w:tcPr>
            <w:tcW w:w="60" w:type="dxa"/>
            <w:tcBorders/>
            <w:vAlign w:val="center"/>
          </w:tcPr>
          <w:p>
            <w:pPr>
              <w:pStyle w:val="TableContents"/>
              <w:bidi w:val="0"/>
              <w:spacing w:before="0" w:after="283"/>
              <w:jc w:val="left"/>
              <w:rPr/>
            </w:pPr>
            <w:r>
              <w:rPr/>
              <w:t> </w:t>
            </w:r>
          </w:p>
        </w:tc>
        <w:tc>
          <w:tcPr>
            <w:tcW w:w="8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517,525</w:t>
            </w:r>
          </w:p>
        </w:tc>
        <w:tc>
          <w:tcPr>
            <w:tcW w:w="10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673,147</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1,135,170</w:t>
            </w:r>
          </w:p>
        </w:tc>
        <w:tc>
          <w:tcPr>
            <w:tcW w:w="9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1,494,147</w:t>
            </w:r>
          </w:p>
        </w:tc>
        <w:tc>
          <w:tcPr>
            <w:tcW w:w="10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pPr>
            <w:r>
              <w:rPr/>
              <w:t> </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pPr>
            <w:r>
              <w:rPr/>
              <w:t> </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both"/>
              <w:rPr>
                <w:b/>
                <w:sz w:val="20"/>
              </w:rPr>
            </w:pPr>
            <w:r>
              <w:rPr>
                <w:b/>
                <w:sz w:val="20"/>
              </w:rPr>
              <w:t>Cash flows from investing activities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pPr>
            <w:r>
              <w:rPr/>
              <w:t> </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pPr>
            <w:r>
              <w:rPr/>
              <w:t> </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both"/>
              <w:rPr>
                <w:sz w:val="20"/>
              </w:rPr>
            </w:pPr>
            <w:r>
              <w:rPr>
                <w:sz w:val="20"/>
              </w:rPr>
              <w:t>Capital expenditures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(121,456</w:t>
            </w:r>
          </w:p>
        </w:tc>
        <w:tc>
          <w:tcPr>
            <w:tcW w:w="108" w:type="dxa"/>
            <w:tcBorders/>
            <w:shd w:fill="F2F2F2" w:val="clear"/>
            <w:vAlign w:val="center"/>
          </w:tcPr>
          <w:p>
            <w:pPr>
              <w:pStyle w:val="TableContents"/>
              <w:bidi w:val="0"/>
              <w:spacing w:before="0" w:after="283"/>
              <w:jc w:val="left"/>
              <w:rPr>
                <w:sz w:val="20"/>
              </w:rPr>
            </w:pPr>
            <w:r>
              <w:rPr>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(135,454</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(235,935</w:t>
            </w:r>
          </w:p>
        </w:tc>
        <w:tc>
          <w:tcPr>
            <w:tcW w:w="97" w:type="dxa"/>
            <w:tcBorders/>
            <w:shd w:fill="F2F2F2" w:val="clear"/>
            <w:vAlign w:val="center"/>
          </w:tcPr>
          <w:p>
            <w:pPr>
              <w:pStyle w:val="TableContents"/>
              <w:bidi w:val="0"/>
              <w:spacing w:before="0" w:after="283"/>
              <w:jc w:val="left"/>
              <w:rPr>
                <w:sz w:val="20"/>
              </w:rPr>
            </w:pPr>
            <w:r>
              <w:rPr>
                <w:sz w:val="20"/>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(309,292</w:t>
            </w:r>
          </w:p>
        </w:tc>
        <w:tc>
          <w:tcPr>
            <w:tcW w:w="104" w:type="dxa"/>
            <w:tcBorders/>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both"/>
              <w:rPr>
                <w:sz w:val="20"/>
              </w:rPr>
            </w:pPr>
            <w:r>
              <w:rPr>
                <w:sz w:val="20"/>
              </w:rPr>
              <w:t>Changes in advances to suppliers of property, plant and equipment</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4,530</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(18,769</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9,983</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(5,853</w:t>
            </w:r>
          </w:p>
        </w:tc>
        <w:tc>
          <w:tcPr>
            <w:tcW w:w="104" w:type="dxa"/>
            <w:tcBorders/>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both"/>
              <w:rPr>
                <w:sz w:val="20"/>
              </w:rPr>
            </w:pPr>
            <w:r>
              <w:rPr>
                <w:sz w:val="20"/>
              </w:rPr>
              <w:t>Cash decrease due to deconsolidation of subsidiaries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pPr>
            <w:r>
              <w:rPr/>
              <w:t>—  </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(1,848</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pPr>
            <w:r>
              <w:rPr/>
              <w:t>—  </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(1,848</w:t>
            </w:r>
          </w:p>
        </w:tc>
        <w:tc>
          <w:tcPr>
            <w:tcW w:w="104" w:type="dxa"/>
            <w:tcBorders/>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both"/>
              <w:rPr>
                <w:sz w:val="20"/>
              </w:rPr>
            </w:pPr>
            <w:r>
              <w:rPr>
                <w:sz w:val="20"/>
              </w:rPr>
              <w:t>Acquisition of subsidiaries, net of cash acquired</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pPr>
            <w:r>
              <w:rPr/>
              <w:t>—  </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(4,507</w:t>
            </w:r>
          </w:p>
        </w:tc>
        <w:tc>
          <w:tcPr>
            <w:tcW w:w="97" w:type="dxa"/>
            <w:tcBorders/>
            <w:shd w:fill="F2F2F2" w:val="clear"/>
            <w:vAlign w:val="center"/>
          </w:tcPr>
          <w:p>
            <w:pPr>
              <w:pStyle w:val="TableContents"/>
              <w:bidi w:val="0"/>
              <w:spacing w:before="0" w:after="283"/>
              <w:jc w:val="left"/>
              <w:rPr>
                <w:sz w:val="20"/>
              </w:rPr>
            </w:pPr>
            <w:r>
              <w:rPr>
                <w:sz w:val="20"/>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both"/>
              <w:rPr>
                <w:sz w:val="20"/>
              </w:rPr>
            </w:pPr>
            <w:r>
              <w:rPr>
                <w:sz w:val="20"/>
              </w:rPr>
              <w:t>Loan to joint ventures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pPr>
            <w:r>
              <w:rPr/>
              <w:t>—  </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pPr>
            <w:r>
              <w:rPr/>
              <w:t>—  </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(1,359</w:t>
            </w:r>
          </w:p>
        </w:tc>
        <w:tc>
          <w:tcPr>
            <w:tcW w:w="104" w:type="dxa"/>
            <w:tcBorders/>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both"/>
              <w:rPr>
                <w:sz w:val="20"/>
              </w:rPr>
            </w:pPr>
            <w:r>
              <w:rPr>
                <w:sz w:val="20"/>
              </w:rPr>
              <w:t>Repayment of loan by joint ventures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pPr>
            <w:r>
              <w:rPr/>
              <w:t>—  </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68,788</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left"/>
              <w:rPr>
                <w:sz w:val="20"/>
              </w:rPr>
            </w:pPr>
            <w:r>
              <w:rPr>
                <w:sz w:val="20"/>
              </w:rPr>
              <w:t>Proceeds from disposal of property, plant and equipment and intangible assets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518</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56,829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1,011</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57,729</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left"/>
              <w:rPr>
                <w:sz w:val="20"/>
              </w:rPr>
            </w:pPr>
            <w:r>
              <w:rPr>
                <w:sz w:val="20"/>
              </w:rPr>
              <w:t>Dividends received from non-consolidated companies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29,863</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41,348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29,863</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41,348</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both"/>
              <w:rPr>
                <w:sz w:val="20"/>
              </w:rPr>
            </w:pPr>
            <w:r>
              <w:rPr>
                <w:sz w:val="20"/>
              </w:rPr>
              <w:t>Changes in investments in securities</w:t>
            </w:r>
          </w:p>
        </w:tc>
        <w:tc>
          <w:tcPr>
            <w:tcW w:w="60" w:type="dxa"/>
            <w:tcBorders/>
            <w:vAlign w:val="center"/>
          </w:tcPr>
          <w:p>
            <w:pPr>
              <w:pStyle w:val="TableContents"/>
              <w:bidi w:val="0"/>
              <w:spacing w:before="0" w:after="283"/>
              <w:jc w:val="left"/>
              <w:rPr/>
            </w:pPr>
            <w:r>
              <w:rPr/>
              <w:t> </w:t>
            </w:r>
          </w:p>
        </w:tc>
        <w:tc>
          <w:tcPr>
            <w:tcW w:w="8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(364,472</w:t>
            </w:r>
          </w:p>
        </w:tc>
        <w:tc>
          <w:tcPr>
            <w:tcW w:w="108"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right"/>
              <w:rPr>
                <w:sz w:val="20"/>
              </w:rPr>
            </w:pPr>
            <w:r>
              <w:rPr>
                <w:sz w:val="20"/>
              </w:rPr>
              <w:t>94,299</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(286,375</w:t>
            </w:r>
          </w:p>
        </w:tc>
        <w:tc>
          <w:tcPr>
            <w:tcW w:w="97"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tcMar>
              <w:bottom w:w="28" w:type="dxa"/>
            </w:tcMar>
            <w:vAlign w:val="center"/>
          </w:tcPr>
          <w:p>
            <w:pPr>
              <w:pStyle w:val="TableContents"/>
              <w:bidi w:val="0"/>
              <w:spacing w:before="0" w:after="283"/>
              <w:jc w:val="right"/>
              <w:rPr>
                <w:sz w:val="20"/>
              </w:rPr>
            </w:pPr>
            <w:r>
              <w:rPr>
                <w:sz w:val="20"/>
              </w:rPr>
              <w:t>(131,337</w:t>
            </w:r>
          </w:p>
        </w:tc>
        <w:tc>
          <w:tcPr>
            <w:tcW w:w="104"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both"/>
              <w:rPr>
                <w:b/>
                <w:sz w:val="20"/>
              </w:rPr>
            </w:pPr>
            <w:r>
              <w:rPr>
                <w:b/>
                <w:sz w:val="20"/>
              </w:rPr>
              <w:t>Net cash used in investing activities</w:t>
            </w:r>
          </w:p>
        </w:tc>
        <w:tc>
          <w:tcPr>
            <w:tcW w:w="60" w:type="dxa"/>
            <w:tcBorders/>
            <w:vAlign w:val="center"/>
          </w:tcPr>
          <w:p>
            <w:pPr>
              <w:pStyle w:val="TableContents"/>
              <w:bidi w:val="0"/>
              <w:spacing w:before="0" w:after="283"/>
              <w:jc w:val="left"/>
              <w:rPr/>
            </w:pPr>
            <w:r>
              <w:rPr/>
              <w:t> </w:t>
            </w:r>
          </w:p>
        </w:tc>
        <w:tc>
          <w:tcPr>
            <w:tcW w:w="8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(451,017</w:t>
            </w:r>
          </w:p>
        </w:tc>
        <w:tc>
          <w:tcPr>
            <w:tcW w:w="108"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36,405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(417,172</w:t>
            </w:r>
          </w:p>
        </w:tc>
        <w:tc>
          <w:tcPr>
            <w:tcW w:w="97"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(350,612</w:t>
            </w:r>
          </w:p>
        </w:tc>
        <w:tc>
          <w:tcPr>
            <w:tcW w:w="104"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4907" w:type="dxa"/>
            <w:tcBorders/>
            <w:vAlign w:val="center"/>
          </w:tcPr>
          <w:p>
            <w:pPr>
              <w:pStyle w:val="TableContents"/>
              <w:bidi w:val="0"/>
              <w:spacing w:before="0" w:after="283"/>
              <w:jc w:val="both"/>
              <w:rPr>
                <w:b/>
                <w:sz w:val="20"/>
              </w:rPr>
            </w:pPr>
            <w:r>
              <w:rPr>
                <w:b/>
                <w:sz w:val="20"/>
              </w:rPr>
              <w:t>Cash flows from financing activities</w:t>
            </w:r>
          </w:p>
        </w:tc>
        <w:tc>
          <w:tcPr>
            <w:tcW w:w="60" w:type="dxa"/>
            <w:tcBorders/>
            <w:vAlign w:val="center"/>
          </w:tcPr>
          <w:p>
            <w:pPr>
              <w:pStyle w:val="TableContents"/>
              <w:bidi w:val="0"/>
              <w:spacing w:before="0" w:after="283"/>
              <w:jc w:val="left"/>
              <w:rPr>
                <w:color w:val="FFFFFF"/>
              </w:rPr>
            </w:pPr>
            <w:r>
              <w:rPr>
                <w:color w:val="FFFFFF"/>
              </w:rPr>
              <w:t> </w:t>
            </w:r>
          </w:p>
        </w:tc>
        <w:tc>
          <w:tcPr>
            <w:tcW w:w="81" w:type="dxa"/>
            <w:tcBorders/>
            <w:shd w:fill="F2F2F2" w:val="clear"/>
            <w:vAlign w:val="center"/>
          </w:tcPr>
          <w:p>
            <w:pPr>
              <w:pStyle w:val="TableContents"/>
              <w:bidi w:val="0"/>
              <w:spacing w:before="0" w:after="283"/>
              <w:jc w:val="left"/>
              <w:rPr>
                <w:color w:val="FFFFFF"/>
              </w:rPr>
            </w:pPr>
            <w:r>
              <w:rPr>
                <w:color w:val="FFFFFF"/>
              </w:rPr>
              <w:t> </w:t>
            </w:r>
          </w:p>
        </w:tc>
        <w:tc>
          <w:tcPr>
            <w:tcW w:w="1155" w:type="dxa"/>
            <w:tcBorders/>
            <w:shd w:fill="F2F2F2" w:val="clear"/>
            <w:vAlign w:val="center"/>
          </w:tcPr>
          <w:p>
            <w:pPr>
              <w:pStyle w:val="TableContents"/>
              <w:bidi w:val="0"/>
              <w:spacing w:before="0" w:after="283"/>
              <w:jc w:val="right"/>
              <w:rPr>
                <w:color w:val="FFFFFF"/>
              </w:rPr>
            </w:pPr>
            <w:r>
              <w:rPr>
                <w:color w:val="FFFFFF"/>
              </w:rPr>
              <w:t>—  </w:t>
            </w:r>
          </w:p>
        </w:tc>
        <w:tc>
          <w:tcPr>
            <w:tcW w:w="108" w:type="dxa"/>
            <w:tcBorders/>
            <w:shd w:fill="F2F2F2" w:val="clear"/>
            <w:vAlign w:val="center"/>
          </w:tcPr>
          <w:p>
            <w:pPr>
              <w:pStyle w:val="TableContents"/>
              <w:bidi w:val="0"/>
              <w:spacing w:before="0" w:after="283"/>
              <w:jc w:val="left"/>
              <w:rPr>
                <w:color w:val="FFFFFF"/>
              </w:rPr>
            </w:pPr>
            <w:r>
              <w:rPr>
                <w:color w:val="FFFFFF"/>
              </w:rPr>
              <w:t> </w:t>
            </w:r>
          </w:p>
        </w:tc>
        <w:tc>
          <w:tcPr>
            <w:tcW w:w="81" w:type="dxa"/>
            <w:tcBorders/>
            <w:vAlign w:val="center"/>
          </w:tcPr>
          <w:p>
            <w:pPr>
              <w:pStyle w:val="TableContents"/>
              <w:bidi w:val="0"/>
              <w:spacing w:before="0" w:after="283"/>
              <w:jc w:val="left"/>
              <w:rPr>
                <w:color w:val="FFFFFF"/>
              </w:rPr>
            </w:pPr>
            <w:r>
              <w:rPr>
                <w:color w:val="FFFFFF"/>
              </w:rPr>
              <w:t> </w:t>
            </w:r>
          </w:p>
        </w:tc>
        <w:tc>
          <w:tcPr>
            <w:tcW w:w="81" w:type="dxa"/>
            <w:tcBorders/>
            <w:vAlign w:val="center"/>
          </w:tcPr>
          <w:p>
            <w:pPr>
              <w:pStyle w:val="TableContents"/>
              <w:bidi w:val="0"/>
              <w:spacing w:before="0" w:after="283"/>
              <w:jc w:val="left"/>
              <w:rPr>
                <w:color w:val="FFFFFF"/>
              </w:rPr>
            </w:pPr>
            <w:r>
              <w:rPr>
                <w:color w:val="FFFFFF"/>
              </w:rPr>
              <w:t> </w:t>
            </w:r>
          </w:p>
        </w:tc>
        <w:tc>
          <w:tcPr>
            <w:tcW w:w="1032" w:type="dxa"/>
            <w:tcBorders/>
            <w:vAlign w:val="center"/>
          </w:tcPr>
          <w:p>
            <w:pPr>
              <w:pStyle w:val="TableContents"/>
              <w:bidi w:val="0"/>
              <w:spacing w:before="0" w:after="283"/>
              <w:jc w:val="right"/>
              <w:rPr>
                <w:color w:val="FFFFFF"/>
              </w:rPr>
            </w:pPr>
            <w:r>
              <w:rPr>
                <w:color w:val="FFFFFF"/>
              </w:rPr>
              <w:t>—  </w:t>
            </w:r>
          </w:p>
        </w:tc>
        <w:tc>
          <w:tcPr>
            <w:tcW w:w="80" w:type="dxa"/>
            <w:tcBorders/>
            <w:vAlign w:val="center"/>
          </w:tcPr>
          <w:p>
            <w:pPr>
              <w:pStyle w:val="TableContents"/>
              <w:bidi w:val="0"/>
              <w:spacing w:before="0" w:after="283"/>
              <w:jc w:val="left"/>
              <w:rPr>
                <w:color w:val="FFFFFF"/>
              </w:rPr>
            </w:pPr>
            <w:r>
              <w:rPr>
                <w:color w:val="FFFFFF"/>
              </w:rPr>
              <w:t> </w:t>
            </w:r>
          </w:p>
        </w:tc>
        <w:tc>
          <w:tcPr>
            <w:tcW w:w="60" w:type="dxa"/>
            <w:tcBorders/>
            <w:vAlign w:val="center"/>
          </w:tcPr>
          <w:p>
            <w:pPr>
              <w:pStyle w:val="TableContents"/>
              <w:bidi w:val="0"/>
              <w:spacing w:before="0" w:after="283"/>
              <w:jc w:val="left"/>
              <w:rPr>
                <w:color w:val="FFFFFF"/>
              </w:rPr>
            </w:pPr>
            <w:r>
              <w:rPr>
                <w:color w:val="FFFFFF"/>
              </w:rPr>
              <w:t> </w:t>
            </w:r>
          </w:p>
        </w:tc>
        <w:tc>
          <w:tcPr>
            <w:tcW w:w="72" w:type="dxa"/>
            <w:tcBorders/>
            <w:shd w:fill="F2F2F2" w:val="clear"/>
            <w:vAlign w:val="center"/>
          </w:tcPr>
          <w:p>
            <w:pPr>
              <w:pStyle w:val="TableContents"/>
              <w:bidi w:val="0"/>
              <w:spacing w:before="0" w:after="283"/>
              <w:jc w:val="left"/>
              <w:rPr>
                <w:color w:val="FFFFFF"/>
              </w:rPr>
            </w:pPr>
            <w:r>
              <w:rPr>
                <w:color w:val="FFFFFF"/>
              </w:rPr>
              <w:t> </w:t>
            </w:r>
          </w:p>
        </w:tc>
        <w:tc>
          <w:tcPr>
            <w:tcW w:w="1035" w:type="dxa"/>
            <w:tcBorders/>
            <w:shd w:fill="F2F2F2" w:val="clear"/>
            <w:vAlign w:val="center"/>
          </w:tcPr>
          <w:p>
            <w:pPr>
              <w:pStyle w:val="TableContents"/>
              <w:bidi w:val="0"/>
              <w:spacing w:before="0" w:after="283"/>
              <w:jc w:val="right"/>
              <w:rPr>
                <w:color w:val="FFFFFF"/>
              </w:rPr>
            </w:pPr>
            <w:r>
              <w:rPr>
                <w:color w:val="FFFFFF"/>
              </w:rPr>
              <w:t>—  </w:t>
            </w:r>
          </w:p>
        </w:tc>
        <w:tc>
          <w:tcPr>
            <w:tcW w:w="97" w:type="dxa"/>
            <w:tcBorders/>
            <w:shd w:fill="F2F2F2" w:val="clear"/>
            <w:vAlign w:val="center"/>
          </w:tcPr>
          <w:p>
            <w:pPr>
              <w:pStyle w:val="TableContents"/>
              <w:bidi w:val="0"/>
              <w:spacing w:before="0" w:after="283"/>
              <w:jc w:val="left"/>
              <w:rPr>
                <w:color w:val="FFFFFF"/>
              </w:rPr>
            </w:pPr>
            <w:r>
              <w:rPr>
                <w:color w:val="FFFFFF"/>
              </w:rPr>
              <w:t> </w:t>
            </w:r>
          </w:p>
        </w:tc>
        <w:tc>
          <w:tcPr>
            <w:tcW w:w="72" w:type="dxa"/>
            <w:tcBorders/>
            <w:vAlign w:val="center"/>
          </w:tcPr>
          <w:p>
            <w:pPr>
              <w:pStyle w:val="TableContents"/>
              <w:bidi w:val="0"/>
              <w:spacing w:before="0" w:after="283"/>
              <w:jc w:val="left"/>
              <w:rPr>
                <w:color w:val="FFFFFF"/>
              </w:rPr>
            </w:pPr>
            <w:r>
              <w:rPr>
                <w:color w:val="FFFFFF"/>
              </w:rPr>
              <w:t> </w:t>
            </w:r>
          </w:p>
        </w:tc>
        <w:tc>
          <w:tcPr>
            <w:tcW w:w="72" w:type="dxa"/>
            <w:tcBorders/>
            <w:vAlign w:val="center"/>
          </w:tcPr>
          <w:p>
            <w:pPr>
              <w:pStyle w:val="TableContents"/>
              <w:bidi w:val="0"/>
              <w:spacing w:before="0" w:after="283"/>
              <w:jc w:val="left"/>
              <w:rPr>
                <w:color w:val="FFFFFF"/>
              </w:rPr>
            </w:pPr>
            <w:r>
              <w:rPr>
                <w:color w:val="FFFFFF"/>
              </w:rPr>
              <w:t> </w:t>
            </w:r>
          </w:p>
        </w:tc>
        <w:tc>
          <w:tcPr>
            <w:tcW w:w="1108" w:type="dxa"/>
            <w:tcBorders/>
            <w:vAlign w:val="center"/>
          </w:tcPr>
          <w:p>
            <w:pPr>
              <w:pStyle w:val="TableContents"/>
              <w:bidi w:val="0"/>
              <w:spacing w:before="0" w:after="283"/>
              <w:jc w:val="right"/>
              <w:rPr>
                <w:color w:val="FFFFFF"/>
              </w:rPr>
            </w:pPr>
            <w:r>
              <w:rPr>
                <w:color w:val="FFFFFF"/>
              </w:rPr>
              <w:t>—  </w:t>
            </w:r>
          </w:p>
        </w:tc>
        <w:tc>
          <w:tcPr>
            <w:tcW w:w="104" w:type="dxa"/>
            <w:tcBorders/>
            <w:vAlign w:val="center"/>
          </w:tcPr>
          <w:p>
            <w:pPr>
              <w:pStyle w:val="TableContents"/>
              <w:bidi w:val="0"/>
              <w:spacing w:before="0" w:after="283"/>
              <w:jc w:val="left"/>
              <w:rPr>
                <w:color w:val="FFFFFF"/>
              </w:rPr>
            </w:pPr>
            <w:r>
              <w:rPr>
                <w:color w:val="FFFFFF"/>
              </w:rPr>
              <w:t> </w:t>
            </w:r>
          </w:p>
        </w:tc>
      </w:tr>
      <w:tr>
        <w:trPr/>
        <w:tc>
          <w:tcPr>
            <w:tcW w:w="4907" w:type="dxa"/>
            <w:tcBorders/>
            <w:vAlign w:val="center"/>
          </w:tcPr>
          <w:p>
            <w:pPr>
              <w:pStyle w:val="TableContents"/>
              <w:bidi w:val="0"/>
              <w:spacing w:before="0" w:after="283"/>
              <w:jc w:val="both"/>
              <w:rPr>
                <w:sz w:val="20"/>
              </w:rPr>
            </w:pPr>
            <w:r>
              <w:rPr>
                <w:sz w:val="20"/>
              </w:rPr>
              <w:t>Dividends paid</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(605,790</w:t>
            </w:r>
          </w:p>
        </w:tc>
        <w:tc>
          <w:tcPr>
            <w:tcW w:w="108" w:type="dxa"/>
            <w:tcBorders/>
            <w:shd w:fill="F2F2F2" w:val="clear"/>
            <w:vAlign w:val="center"/>
          </w:tcPr>
          <w:p>
            <w:pPr>
              <w:pStyle w:val="TableContents"/>
              <w:bidi w:val="0"/>
              <w:spacing w:before="0" w:after="283"/>
              <w:jc w:val="left"/>
              <w:rPr>
                <w:sz w:val="20"/>
              </w:rPr>
            </w:pPr>
            <w:r>
              <w:rPr>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(600,317</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(605,790</w:t>
            </w:r>
          </w:p>
        </w:tc>
        <w:tc>
          <w:tcPr>
            <w:tcW w:w="97" w:type="dxa"/>
            <w:tcBorders/>
            <w:shd w:fill="F2F2F2" w:val="clear"/>
            <w:vAlign w:val="center"/>
          </w:tcPr>
          <w:p>
            <w:pPr>
              <w:pStyle w:val="TableContents"/>
              <w:bidi w:val="0"/>
              <w:spacing w:before="0" w:after="283"/>
              <w:jc w:val="left"/>
              <w:rPr>
                <w:sz w:val="20"/>
              </w:rPr>
            </w:pPr>
            <w:r>
              <w:rPr>
                <w:sz w:val="20"/>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(600,317</w:t>
            </w:r>
          </w:p>
        </w:tc>
        <w:tc>
          <w:tcPr>
            <w:tcW w:w="104" w:type="dxa"/>
            <w:tcBorders/>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left"/>
              <w:rPr>
                <w:sz w:val="20"/>
              </w:rPr>
            </w:pPr>
            <w:r>
              <w:rPr>
                <w:sz w:val="20"/>
              </w:rPr>
              <w:t>Dividends paid to non-controlling interest in subsidiaries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(1,232</w:t>
            </w:r>
          </w:p>
        </w:tc>
        <w:tc>
          <w:tcPr>
            <w:tcW w:w="108" w:type="dxa"/>
            <w:tcBorders/>
            <w:shd w:fill="F2F2F2" w:val="clear"/>
            <w:vAlign w:val="center"/>
          </w:tcPr>
          <w:p>
            <w:pPr>
              <w:pStyle w:val="TableContents"/>
              <w:bidi w:val="0"/>
              <w:spacing w:before="0" w:after="283"/>
              <w:jc w:val="left"/>
              <w:rPr>
                <w:sz w:val="20"/>
              </w:rPr>
            </w:pPr>
            <w:r>
              <w:rPr>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(27,264</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(1,232</w:t>
            </w:r>
          </w:p>
        </w:tc>
        <w:tc>
          <w:tcPr>
            <w:tcW w:w="97" w:type="dxa"/>
            <w:tcBorders/>
            <w:shd w:fill="F2F2F2" w:val="clear"/>
            <w:vAlign w:val="center"/>
          </w:tcPr>
          <w:p>
            <w:pPr>
              <w:pStyle w:val="TableContents"/>
              <w:bidi w:val="0"/>
              <w:spacing w:before="0" w:after="283"/>
              <w:jc w:val="left"/>
              <w:rPr>
                <w:sz w:val="20"/>
              </w:rPr>
            </w:pPr>
            <w:r>
              <w:rPr>
                <w:sz w:val="20"/>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(27,264</w:t>
            </w:r>
          </w:p>
        </w:tc>
        <w:tc>
          <w:tcPr>
            <w:tcW w:w="104" w:type="dxa"/>
            <w:tcBorders/>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left"/>
              <w:rPr>
                <w:sz w:val="20"/>
              </w:rPr>
            </w:pPr>
            <w:r>
              <w:rPr>
                <w:sz w:val="20"/>
              </w:rPr>
              <w:t>Acquisition of treasury shares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pPr>
            <w:r>
              <w:rPr/>
              <w:t>—  </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(236,744</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(89,562</w:t>
            </w:r>
          </w:p>
        </w:tc>
        <w:tc>
          <w:tcPr>
            <w:tcW w:w="97" w:type="dxa"/>
            <w:tcBorders/>
            <w:shd w:fill="F2F2F2" w:val="clear"/>
            <w:vAlign w:val="center"/>
          </w:tcPr>
          <w:p>
            <w:pPr>
              <w:pStyle w:val="TableContents"/>
              <w:bidi w:val="0"/>
              <w:spacing w:before="0" w:after="283"/>
              <w:jc w:val="left"/>
              <w:rPr>
                <w:sz w:val="20"/>
              </w:rPr>
            </w:pPr>
            <w:r>
              <w:rPr>
                <w:sz w:val="20"/>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(473,932</w:t>
            </w:r>
          </w:p>
        </w:tc>
        <w:tc>
          <w:tcPr>
            <w:tcW w:w="104" w:type="dxa"/>
            <w:tcBorders/>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left"/>
              <w:rPr>
                <w:sz w:val="20"/>
              </w:rPr>
            </w:pPr>
            <w:r>
              <w:rPr>
                <w:sz w:val="20"/>
              </w:rPr>
              <w:t>Payments of lease liabilities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(18,137</w:t>
            </w:r>
          </w:p>
        </w:tc>
        <w:tc>
          <w:tcPr>
            <w:tcW w:w="108" w:type="dxa"/>
            <w:tcBorders/>
            <w:shd w:fill="F2F2F2" w:val="clear"/>
            <w:vAlign w:val="center"/>
          </w:tcPr>
          <w:p>
            <w:pPr>
              <w:pStyle w:val="TableContents"/>
              <w:bidi w:val="0"/>
              <w:spacing w:before="0" w:after="283"/>
              <w:jc w:val="left"/>
              <w:rPr>
                <w:sz w:val="20"/>
              </w:rPr>
            </w:pPr>
            <w:r>
              <w:rPr>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(15,392</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(33,663</w:t>
            </w:r>
          </w:p>
        </w:tc>
        <w:tc>
          <w:tcPr>
            <w:tcW w:w="97" w:type="dxa"/>
            <w:tcBorders/>
            <w:shd w:fill="F2F2F2" w:val="clear"/>
            <w:vAlign w:val="center"/>
          </w:tcPr>
          <w:p>
            <w:pPr>
              <w:pStyle w:val="TableContents"/>
              <w:bidi w:val="0"/>
              <w:spacing w:before="0" w:after="283"/>
              <w:jc w:val="left"/>
              <w:rPr>
                <w:sz w:val="20"/>
              </w:rPr>
            </w:pPr>
            <w:r>
              <w:rPr>
                <w:sz w:val="20"/>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(30,047</w:t>
            </w:r>
          </w:p>
        </w:tc>
        <w:tc>
          <w:tcPr>
            <w:tcW w:w="104" w:type="dxa"/>
            <w:tcBorders/>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left"/>
              <w:rPr>
                <w:sz w:val="20"/>
              </w:rPr>
            </w:pPr>
            <w:r>
              <w:rPr>
                <w:sz w:val="20"/>
              </w:rPr>
              <w:t>Proceeds from borrowings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107,802</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128,874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356,232</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476,443</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left"/>
              <w:rPr>
                <w:sz w:val="20"/>
              </w:rPr>
            </w:pPr>
            <w:r>
              <w:rPr>
                <w:sz w:val="20"/>
              </w:rPr>
              <w:t>Repayments of borrowings</w:t>
            </w:r>
          </w:p>
        </w:tc>
        <w:tc>
          <w:tcPr>
            <w:tcW w:w="60" w:type="dxa"/>
            <w:tcBorders/>
            <w:vAlign w:val="center"/>
          </w:tcPr>
          <w:p>
            <w:pPr>
              <w:pStyle w:val="TableContents"/>
              <w:bidi w:val="0"/>
              <w:spacing w:before="0" w:after="283"/>
              <w:jc w:val="left"/>
              <w:rPr/>
            </w:pPr>
            <w:r>
              <w:rPr/>
              <w:t> </w:t>
            </w:r>
          </w:p>
        </w:tc>
        <w:tc>
          <w:tcPr>
            <w:tcW w:w="8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(137,232</w:t>
            </w:r>
          </w:p>
        </w:tc>
        <w:tc>
          <w:tcPr>
            <w:tcW w:w="108"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(145,831</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(359,034</w:t>
            </w:r>
          </w:p>
        </w:tc>
        <w:tc>
          <w:tcPr>
            <w:tcW w:w="97"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tcMar>
              <w:bottom w:w="28" w:type="dxa"/>
            </w:tcMar>
            <w:vAlign w:val="center"/>
          </w:tcPr>
          <w:p>
            <w:pPr>
              <w:pStyle w:val="TableContents"/>
              <w:bidi w:val="0"/>
              <w:spacing w:before="0" w:after="283"/>
              <w:jc w:val="right"/>
              <w:rPr>
                <w:sz w:val="20"/>
              </w:rPr>
            </w:pPr>
            <w:r>
              <w:rPr>
                <w:sz w:val="20"/>
              </w:rPr>
              <w:t>(574,956</w:t>
            </w:r>
          </w:p>
        </w:tc>
        <w:tc>
          <w:tcPr>
            <w:tcW w:w="104"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left"/>
              <w:rPr>
                <w:b/>
                <w:sz w:val="20"/>
              </w:rPr>
            </w:pPr>
            <w:r>
              <w:rPr>
                <w:b/>
                <w:sz w:val="20"/>
              </w:rPr>
              <w:t>Net cash used in financing activities</w:t>
            </w:r>
          </w:p>
        </w:tc>
        <w:tc>
          <w:tcPr>
            <w:tcW w:w="60" w:type="dxa"/>
            <w:tcBorders/>
            <w:vAlign w:val="center"/>
          </w:tcPr>
          <w:p>
            <w:pPr>
              <w:pStyle w:val="TableContents"/>
              <w:bidi w:val="0"/>
              <w:spacing w:before="0" w:after="283"/>
              <w:jc w:val="left"/>
              <w:rPr/>
            </w:pPr>
            <w:r>
              <w:rPr/>
              <w:t> </w:t>
            </w:r>
          </w:p>
        </w:tc>
        <w:tc>
          <w:tcPr>
            <w:tcW w:w="81" w:type="dxa"/>
            <w:tcBorders>
              <w:bottom w:val="double" w:sz="6" w:space="0" w:color="000000"/>
            </w:tcBorders>
            <w:shd w:fill="F2F2F2" w:val="clear"/>
            <w:tcMar>
              <w:bottom w:w="28" w:type="dxa"/>
            </w:tcMar>
            <w:vAlign w:val="center"/>
          </w:tcPr>
          <w:p>
            <w:pPr>
              <w:pStyle w:val="TableContents"/>
              <w:bidi w:val="0"/>
              <w:spacing w:before="0" w:after="283"/>
              <w:jc w:val="left"/>
              <w:rPr/>
            </w:pPr>
            <w:r>
              <w:rPr/>
              <w:t> </w:t>
            </w:r>
          </w:p>
        </w:tc>
        <w:tc>
          <w:tcPr>
            <w:tcW w:w="1155" w:type="dxa"/>
            <w:tcBorders>
              <w:bottom w:val="double" w:sz="6" w:space="0" w:color="000000"/>
            </w:tcBorders>
            <w:shd w:fill="F2F2F2" w:val="clear"/>
            <w:tcMar>
              <w:bottom w:w="28" w:type="dxa"/>
            </w:tcMar>
            <w:vAlign w:val="center"/>
          </w:tcPr>
          <w:p>
            <w:pPr>
              <w:pStyle w:val="TableContents"/>
              <w:bidi w:val="0"/>
              <w:spacing w:before="0" w:after="283"/>
              <w:jc w:val="right"/>
              <w:rPr>
                <w:b/>
                <w:sz w:val="20"/>
              </w:rPr>
            </w:pPr>
            <w:r>
              <w:rPr>
                <w:b/>
                <w:sz w:val="20"/>
              </w:rPr>
              <w:t>(654,589</w:t>
            </w:r>
          </w:p>
        </w:tc>
        <w:tc>
          <w:tcPr>
            <w:tcW w:w="108" w:type="dxa"/>
            <w:tcBorders>
              <w:bottom w:val="double" w:sz="6"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81" w:type="dxa"/>
            <w:tcBorders>
              <w:bottom w:val="double" w:sz="6" w:space="0" w:color="000000"/>
            </w:tcBorders>
            <w:tcMar>
              <w:bottom w:w="28" w:type="dxa"/>
            </w:tcMar>
            <w:vAlign w:val="center"/>
          </w:tcPr>
          <w:p>
            <w:pPr>
              <w:pStyle w:val="TableContents"/>
              <w:bidi w:val="0"/>
              <w:spacing w:before="0" w:after="283"/>
              <w:jc w:val="left"/>
              <w:rPr/>
            </w:pPr>
            <w:r>
              <w:rPr/>
              <w:t> </w:t>
            </w:r>
          </w:p>
        </w:tc>
        <w:tc>
          <w:tcPr>
            <w:tcW w:w="81" w:type="dxa"/>
            <w:tcBorders>
              <w:bottom w:val="double" w:sz="6" w:space="0" w:color="000000"/>
            </w:tcBorders>
            <w:tcMar>
              <w:bottom w:w="28" w:type="dxa"/>
            </w:tcMar>
            <w:vAlign w:val="center"/>
          </w:tcPr>
          <w:p>
            <w:pPr>
              <w:pStyle w:val="TableContents"/>
              <w:bidi w:val="0"/>
              <w:spacing w:before="0" w:after="283"/>
              <w:jc w:val="left"/>
              <w:rPr/>
            </w:pPr>
            <w:r>
              <w:rPr/>
              <w:t> </w:t>
            </w:r>
          </w:p>
        </w:tc>
        <w:tc>
          <w:tcPr>
            <w:tcW w:w="1032" w:type="dxa"/>
            <w:tcBorders>
              <w:bottom w:val="double" w:sz="6" w:space="0" w:color="000000"/>
            </w:tcBorders>
            <w:tcMar>
              <w:bottom w:w="28" w:type="dxa"/>
            </w:tcMar>
            <w:vAlign w:val="center"/>
          </w:tcPr>
          <w:p>
            <w:pPr>
              <w:pStyle w:val="TableContents"/>
              <w:bidi w:val="0"/>
              <w:spacing w:before="0" w:after="283"/>
              <w:jc w:val="right"/>
              <w:rPr>
                <w:b/>
                <w:sz w:val="20"/>
              </w:rPr>
            </w:pPr>
            <w:r>
              <w:rPr>
                <w:b/>
                <w:sz w:val="20"/>
              </w:rPr>
              <w:t>(896,674</w:t>
            </w:r>
          </w:p>
        </w:tc>
        <w:tc>
          <w:tcPr>
            <w:tcW w:w="80" w:type="dxa"/>
            <w:tcBorders>
              <w:bottom w:val="double" w:sz="6" w:space="0" w:color="000000"/>
            </w:tcBorders>
            <w:tcMar>
              <w:bottom w:w="28" w:type="dxa"/>
            </w:tcMar>
            <w:vAlign w:val="center"/>
          </w:tcPr>
          <w:p>
            <w:pPr>
              <w:pStyle w:val="TableContents"/>
              <w:bidi w:val="0"/>
              <w:spacing w:before="0" w:after="283"/>
              <w:jc w:val="left"/>
              <w:rPr>
                <w:b/>
                <w:sz w:val="20"/>
              </w:rPr>
            </w:pPr>
            <w:r>
              <w:rPr>
                <w:b/>
                <w:sz w:val="20"/>
              </w:rPr>
              <w:t>)</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72" w:type="dxa"/>
            <w:tcBorders>
              <w:bottom w:val="double" w:sz="6" w:space="0" w:color="000000"/>
            </w:tcBorders>
            <w:shd w:fill="F2F2F2" w:val="clear"/>
            <w:tcMar>
              <w:bottom w:w="28" w:type="dxa"/>
            </w:tcMar>
            <w:vAlign w:val="center"/>
          </w:tcPr>
          <w:p>
            <w:pPr>
              <w:pStyle w:val="TableContents"/>
              <w:bidi w:val="0"/>
              <w:spacing w:before="0" w:after="283"/>
              <w:jc w:val="left"/>
              <w:rPr/>
            </w:pPr>
            <w:r>
              <w:rPr/>
              <w:t> </w:t>
            </w:r>
          </w:p>
        </w:tc>
        <w:tc>
          <w:tcPr>
            <w:tcW w:w="1035" w:type="dxa"/>
            <w:tcBorders>
              <w:bottom w:val="double" w:sz="6" w:space="0" w:color="000000"/>
            </w:tcBorders>
            <w:shd w:fill="F2F2F2" w:val="clear"/>
            <w:tcMar>
              <w:bottom w:w="28" w:type="dxa"/>
            </w:tcMar>
            <w:vAlign w:val="center"/>
          </w:tcPr>
          <w:p>
            <w:pPr>
              <w:pStyle w:val="TableContents"/>
              <w:bidi w:val="0"/>
              <w:spacing w:before="0" w:after="283"/>
              <w:jc w:val="right"/>
              <w:rPr>
                <w:b/>
                <w:sz w:val="20"/>
              </w:rPr>
            </w:pPr>
            <w:r>
              <w:rPr>
                <w:b/>
                <w:sz w:val="20"/>
              </w:rPr>
              <w:t>(733,049</w:t>
            </w:r>
          </w:p>
        </w:tc>
        <w:tc>
          <w:tcPr>
            <w:tcW w:w="97" w:type="dxa"/>
            <w:tcBorders>
              <w:bottom w:val="double" w:sz="6"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72" w:type="dxa"/>
            <w:tcBorders>
              <w:bottom w:val="double" w:sz="6" w:space="0" w:color="000000"/>
            </w:tcBorders>
            <w:tcMar>
              <w:bottom w:w="28" w:type="dxa"/>
            </w:tcMar>
            <w:vAlign w:val="center"/>
          </w:tcPr>
          <w:p>
            <w:pPr>
              <w:pStyle w:val="TableContents"/>
              <w:bidi w:val="0"/>
              <w:spacing w:before="0" w:after="283"/>
              <w:jc w:val="left"/>
              <w:rPr/>
            </w:pPr>
            <w:r>
              <w:rPr/>
              <w:t> </w:t>
            </w:r>
          </w:p>
        </w:tc>
        <w:tc>
          <w:tcPr>
            <w:tcW w:w="72" w:type="dxa"/>
            <w:tcBorders>
              <w:bottom w:val="double" w:sz="6" w:space="0" w:color="000000"/>
            </w:tcBorders>
            <w:tcMar>
              <w:bottom w:w="28" w:type="dxa"/>
            </w:tcMar>
            <w:vAlign w:val="center"/>
          </w:tcPr>
          <w:p>
            <w:pPr>
              <w:pStyle w:val="TableContents"/>
              <w:bidi w:val="0"/>
              <w:spacing w:before="0" w:after="283"/>
              <w:jc w:val="left"/>
              <w:rPr/>
            </w:pPr>
            <w:r>
              <w:rPr/>
              <w:t> </w:t>
            </w:r>
          </w:p>
        </w:tc>
        <w:tc>
          <w:tcPr>
            <w:tcW w:w="1108" w:type="dxa"/>
            <w:tcBorders>
              <w:bottom w:val="double" w:sz="6" w:space="0" w:color="000000"/>
            </w:tcBorders>
            <w:tcMar>
              <w:bottom w:w="28" w:type="dxa"/>
            </w:tcMar>
            <w:vAlign w:val="center"/>
          </w:tcPr>
          <w:p>
            <w:pPr>
              <w:pStyle w:val="TableContents"/>
              <w:bidi w:val="0"/>
              <w:spacing w:before="0" w:after="283"/>
              <w:jc w:val="right"/>
              <w:rPr>
                <w:b/>
                <w:sz w:val="20"/>
              </w:rPr>
            </w:pPr>
            <w:r>
              <w:rPr>
                <w:b/>
                <w:sz w:val="20"/>
              </w:rPr>
              <w:t>(1,230,073</w:t>
            </w:r>
          </w:p>
        </w:tc>
        <w:tc>
          <w:tcPr>
            <w:tcW w:w="104" w:type="dxa"/>
            <w:tcBorders>
              <w:bottom w:val="double" w:sz="6"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4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tcMar>
              <w:bottom w:w="28" w:type="dxa"/>
            </w:tcMar>
            <w:vAlign w:val="center"/>
          </w:tcPr>
          <w:p>
            <w:pPr>
              <w:pStyle w:val="TableContents"/>
              <w:bidi w:val="0"/>
              <w:spacing w:before="0" w:after="283"/>
              <w:jc w:val="right"/>
              <w:rPr/>
            </w:pPr>
            <w:r>
              <w:rPr/>
              <w:t> </w:t>
            </w:r>
          </w:p>
        </w:tc>
        <w:tc>
          <w:tcPr>
            <w:tcW w:w="108" w:type="dxa"/>
            <w:tcBorders>
              <w:bottom w:val="single" w:sz="8" w:space="0" w:color="000000"/>
            </w:tcBorders>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right"/>
              <w:rPr/>
            </w:pPr>
            <w:r>
              <w:rPr/>
              <w:t> </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tcMar>
              <w:bottom w:w="28" w:type="dxa"/>
            </w:tcMar>
            <w:vAlign w:val="center"/>
          </w:tcPr>
          <w:p>
            <w:pPr>
              <w:pStyle w:val="TableContents"/>
              <w:bidi w:val="0"/>
              <w:spacing w:before="0" w:after="283"/>
              <w:jc w:val="righ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tcMar>
              <w:bottom w:w="28" w:type="dxa"/>
            </w:tcMar>
            <w:vAlign w:val="center"/>
          </w:tcPr>
          <w:p>
            <w:pPr>
              <w:pStyle w:val="TableContents"/>
              <w:bidi w:val="0"/>
              <w:spacing w:before="0" w:after="283"/>
              <w:jc w:val="right"/>
              <w:rPr/>
            </w:pPr>
            <w:r>
              <w:rPr/>
              <w:t> </w:t>
            </w:r>
          </w:p>
        </w:tc>
        <w:tc>
          <w:tcPr>
            <w:tcW w:w="10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left"/>
              <w:rPr/>
            </w:pPr>
            <w:r>
              <w:rPr/>
              <w:t> </w:t>
            </w:r>
            <w:r>
              <w:rPr>
                <w:b/>
                <w:sz w:val="20"/>
              </w:rPr>
              <w:t>Decrease in cash and cash equivalents</w:t>
            </w:r>
          </w:p>
        </w:tc>
        <w:tc>
          <w:tcPr>
            <w:tcW w:w="60" w:type="dxa"/>
            <w:tcBorders/>
            <w:vAlign w:val="center"/>
          </w:tcPr>
          <w:p>
            <w:pPr>
              <w:pStyle w:val="TableContents"/>
              <w:bidi w:val="0"/>
              <w:spacing w:before="0" w:after="283"/>
              <w:jc w:val="left"/>
              <w:rPr/>
            </w:pPr>
            <w:r>
              <w:rPr/>
              <w:t> </w:t>
            </w:r>
          </w:p>
        </w:tc>
        <w:tc>
          <w:tcPr>
            <w:tcW w:w="8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(588,081</w:t>
            </w:r>
          </w:p>
        </w:tc>
        <w:tc>
          <w:tcPr>
            <w:tcW w:w="108"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(187,122</w:t>
            </w:r>
          </w:p>
        </w:tc>
        <w:tc>
          <w:tcPr>
            <w:tcW w:w="8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(15,051</w:t>
            </w:r>
          </w:p>
        </w:tc>
        <w:tc>
          <w:tcPr>
            <w:tcW w:w="97" w:type="dxa"/>
            <w:tcBorders>
              <w:bottom w:val="single" w:sz="8" w:space="0" w:color="000000"/>
            </w:tcBorders>
            <w:shd w:fill="F2F2F2" w:val="clear"/>
            <w:tcMar>
              <w:bottom w:w="28" w:type="dxa"/>
            </w:tcMar>
            <w:vAlign w:val="center"/>
          </w:tcPr>
          <w:p>
            <w:pPr>
              <w:pStyle w:val="TableContents"/>
              <w:bidi w:val="0"/>
              <w:spacing w:before="0" w:after="283"/>
              <w:jc w:val="left"/>
              <w:rPr>
                <w:b/>
                <w:sz w:val="20"/>
              </w:rPr>
            </w:pPr>
            <w:r>
              <w:rPr>
                <w:b/>
                <w:sz w:val="20"/>
              </w:rPr>
              <w:t>)</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(86,538</w:t>
            </w:r>
          </w:p>
        </w:tc>
        <w:tc>
          <w:tcPr>
            <w:tcW w:w="104"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w:t>
            </w:r>
          </w:p>
        </w:tc>
      </w:tr>
      <w:tr>
        <w:trPr/>
        <w:tc>
          <w:tcPr>
            <w:tcW w:w="4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pPr>
            <w:r>
              <w:rPr/>
              <w:t> </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pPr>
            <w:r>
              <w:rPr/>
              <w:t> </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both"/>
              <w:rPr>
                <w:b/>
                <w:sz w:val="20"/>
              </w:rPr>
            </w:pPr>
            <w:r>
              <w:rPr>
                <w:b/>
                <w:sz w:val="20"/>
              </w:rPr>
              <w:t>Movement in cash and cash equivalents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pPr>
            <w:r>
              <w:rPr/>
              <w:t> </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pPr>
            <w:r>
              <w:rPr/>
              <w:t> </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left"/>
              <w:rPr>
                <w:sz w:val="20"/>
              </w:rPr>
            </w:pPr>
            <w:r>
              <w:rPr>
                <w:sz w:val="20"/>
              </w:rPr>
              <w:t>At the beginning of the period</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1,152,104</w:t>
            </w:r>
          </w:p>
        </w:tc>
        <w:tc>
          <w:tcPr>
            <w:tcW w:w="108" w:type="dxa"/>
            <w:tcBorders/>
            <w:shd w:fill="F2F2F2" w:val="cle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758,952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572,444</w:t>
            </w:r>
          </w:p>
        </w:tc>
        <w:tc>
          <w:tcPr>
            <w:tcW w:w="97" w:type="dxa"/>
            <w:tcBorders/>
            <w:shd w:fill="F2F2F2" w:val="cle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660,798</w:t>
            </w:r>
          </w:p>
        </w:tc>
        <w:tc>
          <w:tcPr>
            <w:tcW w:w="104" w:type="dxa"/>
            <w:tcBorders/>
            <w:vAlign w:val="center"/>
          </w:tcPr>
          <w:p>
            <w:pPr>
              <w:pStyle w:val="TableContents"/>
              <w:bidi w:val="0"/>
              <w:spacing w:before="0" w:after="283"/>
              <w:jc w:val="left"/>
              <w:rPr/>
            </w:pPr>
            <w:r>
              <w:rPr/>
              <w:t> </w:t>
            </w:r>
          </w:p>
        </w:tc>
      </w:tr>
      <w:tr>
        <w:trPr/>
        <w:tc>
          <w:tcPr>
            <w:tcW w:w="4907" w:type="dxa"/>
            <w:tcBorders/>
            <w:vAlign w:val="center"/>
          </w:tcPr>
          <w:p>
            <w:pPr>
              <w:pStyle w:val="TableContents"/>
              <w:bidi w:val="0"/>
              <w:spacing w:before="0" w:after="283"/>
              <w:jc w:val="left"/>
              <w:rPr>
                <w:sz w:val="20"/>
              </w:rPr>
            </w:pPr>
            <w:r>
              <w:rPr>
                <w:sz w:val="20"/>
              </w:rPr>
              <w:t>Effect of exchange rate changes</w:t>
            </w:r>
          </w:p>
        </w:tc>
        <w:tc>
          <w:tcPr>
            <w:tcW w:w="60" w:type="dxa"/>
            <w:tcBorders/>
            <w:vAlign w:val="center"/>
          </w:tcPr>
          <w:p>
            <w:pPr>
              <w:pStyle w:val="TableContents"/>
              <w:bidi w:val="0"/>
              <w:spacing w:before="0" w:after="283"/>
              <w:jc w:val="left"/>
              <w:rPr/>
            </w:pPr>
            <w:r>
              <w:rPr/>
              <w:t> </w:t>
            </w:r>
          </w:p>
        </w:tc>
        <w:tc>
          <w:tcPr>
            <w:tcW w:w="81" w:type="dxa"/>
            <w:tcBorders/>
            <w:shd w:fill="F2F2F2" w:val="clear"/>
            <w:vAlign w:val="center"/>
          </w:tcPr>
          <w:p>
            <w:pPr>
              <w:pStyle w:val="TableContents"/>
              <w:bidi w:val="0"/>
              <w:spacing w:before="0" w:after="283"/>
              <w:jc w:val="left"/>
              <w:rPr/>
            </w:pPr>
            <w:r>
              <w:rPr/>
              <w:t> </w:t>
            </w:r>
          </w:p>
        </w:tc>
        <w:tc>
          <w:tcPr>
            <w:tcW w:w="1155" w:type="dxa"/>
            <w:tcBorders/>
            <w:shd w:fill="F2F2F2" w:val="clear"/>
            <w:vAlign w:val="center"/>
          </w:tcPr>
          <w:p>
            <w:pPr>
              <w:pStyle w:val="TableContents"/>
              <w:bidi w:val="0"/>
              <w:spacing w:before="0" w:after="283"/>
              <w:jc w:val="right"/>
              <w:rPr>
                <w:sz w:val="20"/>
              </w:rPr>
            </w:pPr>
            <w:r>
              <w:rPr>
                <w:sz w:val="20"/>
              </w:rPr>
              <w:t>(7,040</w:t>
            </w:r>
          </w:p>
        </w:tc>
        <w:tc>
          <w:tcPr>
            <w:tcW w:w="108" w:type="dxa"/>
            <w:tcBorders/>
            <w:shd w:fill="F2F2F2" w:val="clear"/>
            <w:vAlign w:val="center"/>
          </w:tcPr>
          <w:p>
            <w:pPr>
              <w:pStyle w:val="TableContents"/>
              <w:bidi w:val="0"/>
              <w:spacing w:before="0" w:after="283"/>
              <w:jc w:val="left"/>
              <w:rPr>
                <w:sz w:val="20"/>
              </w:rPr>
            </w:pPr>
            <w:r>
              <w:rPr>
                <w:sz w:val="20"/>
              </w:rPr>
              <w: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sz w:val="20"/>
              </w:rPr>
            </w:pPr>
            <w:r>
              <w:rPr>
                <w:sz w:val="20"/>
              </w:rPr>
              <w:t>(338</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72" w:type="dxa"/>
            <w:tcBorders/>
            <w:shd w:fill="F2F2F2" w:val="clear"/>
            <w:vAlign w:val="center"/>
          </w:tcPr>
          <w:p>
            <w:pPr>
              <w:pStyle w:val="TableContents"/>
              <w:bidi w:val="0"/>
              <w:spacing w:before="0" w:after="283"/>
              <w:jc w:val="left"/>
              <w:rPr/>
            </w:pPr>
            <w:r>
              <w:rPr/>
              <w:t> </w:t>
            </w:r>
          </w:p>
        </w:tc>
        <w:tc>
          <w:tcPr>
            <w:tcW w:w="1035" w:type="dxa"/>
            <w:tcBorders/>
            <w:shd w:fill="F2F2F2" w:val="clear"/>
            <w:vAlign w:val="center"/>
          </w:tcPr>
          <w:p>
            <w:pPr>
              <w:pStyle w:val="TableContents"/>
              <w:bidi w:val="0"/>
              <w:spacing w:before="0" w:after="283"/>
              <w:jc w:val="right"/>
              <w:rPr>
                <w:sz w:val="20"/>
              </w:rPr>
            </w:pPr>
            <w:r>
              <w:rPr>
                <w:sz w:val="20"/>
              </w:rPr>
              <w:t>(410</w:t>
            </w:r>
          </w:p>
        </w:tc>
        <w:tc>
          <w:tcPr>
            <w:tcW w:w="97" w:type="dxa"/>
            <w:tcBorders/>
            <w:shd w:fill="F2F2F2" w:val="clear"/>
            <w:vAlign w:val="center"/>
          </w:tcPr>
          <w:p>
            <w:pPr>
              <w:pStyle w:val="TableContents"/>
              <w:bidi w:val="0"/>
              <w:spacing w:before="0" w:after="283"/>
              <w:jc w:val="left"/>
              <w:rPr>
                <w:sz w:val="20"/>
              </w:rPr>
            </w:pPr>
            <w:r>
              <w:rPr>
                <w:sz w:val="20"/>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(2,768</w:t>
            </w:r>
          </w:p>
        </w:tc>
        <w:tc>
          <w:tcPr>
            <w:tcW w:w="104" w:type="dxa"/>
            <w:tcBorders/>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left"/>
              <w:rPr>
                <w:sz w:val="20"/>
              </w:rPr>
            </w:pPr>
            <w:r>
              <w:rPr>
                <w:sz w:val="20"/>
              </w:rPr>
              <w:t>Decrease in cash and cash equivalents</w:t>
            </w:r>
          </w:p>
        </w:tc>
        <w:tc>
          <w:tcPr>
            <w:tcW w:w="60" w:type="dxa"/>
            <w:tcBorders/>
            <w:vAlign w:val="center"/>
          </w:tcPr>
          <w:p>
            <w:pPr>
              <w:pStyle w:val="TableContents"/>
              <w:bidi w:val="0"/>
              <w:spacing w:before="0" w:after="283"/>
              <w:jc w:val="left"/>
              <w:rPr/>
            </w:pPr>
            <w:r>
              <w:rPr/>
              <w:t> </w:t>
            </w:r>
          </w:p>
        </w:tc>
        <w:tc>
          <w:tcPr>
            <w:tcW w:w="8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(588,081</w:t>
            </w:r>
          </w:p>
        </w:tc>
        <w:tc>
          <w:tcPr>
            <w:tcW w:w="108"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right"/>
              <w:rPr>
                <w:sz w:val="20"/>
              </w:rPr>
            </w:pPr>
            <w:r>
              <w:rPr>
                <w:sz w:val="20"/>
              </w:rPr>
              <w:t>(187,122</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(15,051</w:t>
            </w:r>
          </w:p>
        </w:tc>
        <w:tc>
          <w:tcPr>
            <w:tcW w:w="97"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tcMar>
              <w:bottom w:w="28" w:type="dxa"/>
            </w:tcMar>
            <w:vAlign w:val="center"/>
          </w:tcPr>
          <w:p>
            <w:pPr>
              <w:pStyle w:val="TableContents"/>
              <w:bidi w:val="0"/>
              <w:spacing w:before="0" w:after="283"/>
              <w:jc w:val="right"/>
              <w:rPr>
                <w:sz w:val="20"/>
              </w:rPr>
            </w:pPr>
            <w:r>
              <w:rPr>
                <w:sz w:val="20"/>
              </w:rPr>
              <w:t>(86,538</w:t>
            </w:r>
          </w:p>
        </w:tc>
        <w:tc>
          <w:tcPr>
            <w:tcW w:w="104"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4907" w:type="dxa"/>
            <w:tcBorders/>
            <w:vAlign w:val="center"/>
          </w:tcPr>
          <w:p>
            <w:pPr>
              <w:pStyle w:val="TableContents"/>
              <w:bidi w:val="0"/>
              <w:spacing w:before="0" w:after="283"/>
              <w:jc w:val="both"/>
              <w:rPr>
                <w:b/>
                <w:sz w:val="20"/>
              </w:rPr>
            </w:pPr>
            <w:r>
              <w:rPr>
                <w:b/>
                <w:sz w:val="20"/>
              </w:rPr>
              <w:t>At June 30,</w:t>
            </w:r>
          </w:p>
        </w:tc>
        <w:tc>
          <w:tcPr>
            <w:tcW w:w="60" w:type="dxa"/>
            <w:tcBorders/>
            <w:vAlign w:val="center"/>
          </w:tcPr>
          <w:p>
            <w:pPr>
              <w:pStyle w:val="TableContents"/>
              <w:bidi w:val="0"/>
              <w:spacing w:before="0" w:after="283"/>
              <w:jc w:val="left"/>
              <w:rPr/>
            </w:pPr>
            <w:r>
              <w:rPr/>
              <w:t> </w:t>
            </w:r>
          </w:p>
        </w:tc>
        <w:tc>
          <w:tcPr>
            <w:tcW w:w="81"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15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556,983</w:t>
            </w:r>
          </w:p>
        </w:tc>
        <w:tc>
          <w:tcPr>
            <w:tcW w:w="108"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1032"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571,492</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556,983</w:t>
            </w:r>
          </w:p>
        </w:tc>
        <w:tc>
          <w:tcPr>
            <w:tcW w:w="97"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1108"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571,492</w:t>
            </w:r>
          </w:p>
        </w:tc>
        <w:tc>
          <w:tcPr>
            <w:tcW w:w="104"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drawing>
          <wp:inline distT="0" distB="0" distL="0" distR="0">
            <wp:extent cx="198120" cy="1828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98120" cy="182880"/>
                    </a:xfrm>
                    <a:prstGeom prst="rect">
                      <a:avLst/>
                    </a:prstGeom>
                  </pic:spPr>
                </pic:pic>
              </a:graphicData>
            </a:graphic>
          </wp:inline>
        </w:drawing>
      </w:r>
      <w:r>
        <w:rPr/>
        <w:t>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b/>
          <w:color w:val="009900"/>
          <w:sz w:val="20"/>
        </w:rPr>
      </w:pPr>
      <w:r>
        <w:rPr>
          <w:b/>
          <w:color w:val="009900"/>
          <w:sz w:val="20"/>
        </w:rPr>
        <w:t xml:space="preserve">Exhibit I – Alternative performance measures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both"/>
        <w:rPr>
          <w:sz w:val="20"/>
        </w:rPr>
      </w:pPr>
      <w:r>
        <w:rPr>
          <w:sz w:val="20"/>
        </w:rPr>
        <w:t>Alternative performance measures should be considered in addition to, not as substitute for or superior to, other measures of financial performance prepared in accordance with IFRS.</w:t>
      </w:r>
    </w:p>
    <w:p>
      <w:pPr>
        <w:pStyle w:val="TextBody"/>
        <w:bidi w:val="0"/>
        <w:spacing w:before="0" w:after="0"/>
        <w:ind w:left="0" w:right="0" w:hanging="0"/>
        <w:jc w:val="left"/>
        <w:rPr/>
      </w:pPr>
      <w:r>
        <w:rPr/>
        <w:t> </w:t>
      </w:r>
    </w:p>
    <w:p>
      <w:pPr>
        <w:pStyle w:val="TextBody"/>
        <w:bidi w:val="0"/>
        <w:spacing w:before="0" w:after="0"/>
        <w:ind w:left="0" w:right="0" w:hanging="0"/>
        <w:jc w:val="left"/>
        <w:rPr>
          <w:color w:val="009900"/>
          <w:sz w:val="20"/>
        </w:rPr>
      </w:pPr>
      <w:r>
        <w:rPr>
          <w:color w:val="009900"/>
          <w:sz w:val="20"/>
        </w:rPr>
        <w:t>EBITDA, Earnings before interest, tax, depreciation and amortization.</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both"/>
        <w:rPr>
          <w:sz w:val="20"/>
        </w:rPr>
      </w:pPr>
      <w:r>
        <w:rPr>
          <w:sz w:val="20"/>
        </w:rPr>
        <w:t>EBITDA provides an analysis of the operating results excluding depreciation and amortization and impairments, as they are recurring non-cash variables which can vary substantially from company to company depending on accounting policies and the accounting value of the assets. EBITDA is an approximation to pre-tax operating cash flow and reflects cash generation before working capital variation. EBITDA is widely used by investors when evaluating businesses (multiples valuation), as well as by rating agencies and creditors to evaluate the level of debt, comparing EBITDA with net debt.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EBITDA is calculated in the following manner:</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EBITDA = Net income for the period + Income tax charges +/- Equity in Earnings (losses) of non-consolidated companies +/- Financial results + Depreciation and amortization +/- Impairment charges/(reversals).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EBITDA is a non-IFRS alternative performance measure.</w:t>
      </w:r>
    </w:p>
    <w:p>
      <w:pPr>
        <w:pStyle w:val="TextBody"/>
        <w:bidi w:val="0"/>
        <w:spacing w:before="0" w:after="0"/>
        <w:ind w:left="0" w:right="0" w:hanging="0"/>
        <w:jc w:val="left"/>
        <w:rPr/>
      </w:pPr>
      <w:r>
        <w:rPr/>
        <w:t> </w:t>
      </w:r>
    </w:p>
    <w:tbl>
      <w:tblPr>
        <w:tblW w:w="8765" w:type="dxa"/>
        <w:jc w:val="left"/>
        <w:tblInd w:w="0" w:type="dxa"/>
        <w:tblLayout w:type="fixed"/>
        <w:tblCellMar>
          <w:top w:w="0" w:type="dxa"/>
          <w:left w:w="0" w:type="dxa"/>
          <w:bottom w:w="0" w:type="dxa"/>
          <w:right w:w="0" w:type="dxa"/>
        </w:tblCellMar>
      </w:tblPr>
      <w:tblGrid>
        <w:gridCol w:w="4130"/>
        <w:gridCol w:w="60"/>
        <w:gridCol w:w="82"/>
        <w:gridCol w:w="956"/>
        <w:gridCol w:w="110"/>
        <w:gridCol w:w="82"/>
        <w:gridCol w:w="82"/>
        <w:gridCol w:w="956"/>
        <w:gridCol w:w="80"/>
        <w:gridCol w:w="60"/>
        <w:gridCol w:w="63"/>
        <w:gridCol w:w="899"/>
        <w:gridCol w:w="85"/>
        <w:gridCol w:w="63"/>
        <w:gridCol w:w="63"/>
        <w:gridCol w:w="899"/>
        <w:gridCol w:w="95"/>
      </w:tblGrid>
      <w:tr>
        <w:trPr/>
        <w:tc>
          <w:tcPr>
            <w:tcW w:w="4130" w:type="dxa"/>
            <w:tcBorders/>
            <w:vAlign w:val="center"/>
          </w:tcPr>
          <w:p>
            <w:pPr>
              <w:pStyle w:val="TableContents"/>
              <w:bidi w:val="0"/>
              <w:spacing w:before="0" w:after="283"/>
              <w:jc w:val="left"/>
              <w:rPr>
                <w:sz w:val="20"/>
              </w:rPr>
            </w:pPr>
            <w:r>
              <w:rPr>
                <w:sz w:val="20"/>
              </w:rPr>
              <w:t>(all amounts in thousands of U.S. dollars)</w:t>
            </w:r>
          </w:p>
        </w:tc>
        <w:tc>
          <w:tcPr>
            <w:tcW w:w="60" w:type="dxa"/>
            <w:tcBorders/>
            <w:vAlign w:val="center"/>
          </w:tcPr>
          <w:p>
            <w:pPr>
              <w:pStyle w:val="TableContents"/>
              <w:bidi w:val="0"/>
              <w:spacing w:before="0" w:after="283"/>
              <w:jc w:val="left"/>
              <w:rPr/>
            </w:pPr>
            <w:r>
              <w:rPr/>
              <w:t> </w:t>
            </w:r>
          </w:p>
        </w:tc>
        <w:tc>
          <w:tcPr>
            <w:tcW w:w="2268" w:type="dxa"/>
            <w:gridSpan w:val="6"/>
            <w:tcBorders>
              <w:bottom w:val="single" w:sz="8" w:space="0" w:color="000000"/>
            </w:tcBorders>
            <w:tcMar>
              <w:bottom w:w="28" w:type="dxa"/>
            </w:tcMar>
            <w:vAlign w:val="center"/>
          </w:tcPr>
          <w:p>
            <w:pPr>
              <w:pStyle w:val="TableContents"/>
              <w:bidi w:val="0"/>
              <w:jc w:val="center"/>
              <w:rPr>
                <w:b/>
                <w:sz w:val="20"/>
              </w:rPr>
            </w:pPr>
            <w:r>
              <w:rPr>
                <w:b/>
                <w:sz w:val="20"/>
              </w:rPr>
              <w:t>Three-month period ended</w:t>
            </w:r>
          </w:p>
          <w:p>
            <w:pPr>
              <w:pStyle w:val="TableContents"/>
              <w:bidi w:val="0"/>
              <w:spacing w:before="0" w:after="283"/>
              <w:jc w:val="center"/>
              <w:rPr>
                <w:b/>
                <w:sz w:val="20"/>
              </w:rPr>
            </w:pPr>
            <w:r>
              <w:rPr>
                <w:b/>
                <w:sz w:val="20"/>
              </w:rPr>
              <w:t>June 30,</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07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Six-month period ended </w:t>
              <w:br/>
              <w:t>June 30,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1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62"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20"/>
              </w:rPr>
            </w:pPr>
            <w:r>
              <w:rPr>
                <w:sz w:val="20"/>
              </w:rPr>
              <w:t>Income for the period</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956" w:type="dxa"/>
            <w:tcBorders/>
            <w:shd w:fill="F2F2F2" w:val="clear"/>
            <w:vAlign w:val="center"/>
          </w:tcPr>
          <w:p>
            <w:pPr>
              <w:pStyle w:val="TableContents"/>
              <w:bidi w:val="0"/>
              <w:spacing w:before="0" w:after="283"/>
              <w:jc w:val="right"/>
              <w:rPr>
                <w:sz w:val="20"/>
              </w:rPr>
            </w:pPr>
            <w:r>
              <w:rPr>
                <w:sz w:val="20"/>
              </w:rPr>
              <w:t>492,135</w:t>
            </w:r>
          </w:p>
        </w:tc>
        <w:tc>
          <w:tcPr>
            <w:tcW w:w="110" w:type="dxa"/>
            <w:tcBorders/>
            <w:shd w:fill="F2F2F2" w:val="cle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sz w:val="20"/>
              </w:rPr>
            </w:pPr>
            <w:r>
              <w:rPr>
                <w:sz w:val="20"/>
              </w:rPr>
              <w:t>541,706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sz w:val="20"/>
              </w:rPr>
            </w:pPr>
            <w:r>
              <w:rPr>
                <w:sz w:val="20"/>
              </w:rPr>
              <w:t>1,056,293</w:t>
            </w:r>
          </w:p>
        </w:tc>
        <w:tc>
          <w:tcPr>
            <w:tcW w:w="85"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sz w:val="20"/>
              </w:rPr>
            </w:pPr>
            <w:r>
              <w:rPr>
                <w:sz w:val="20"/>
              </w:rPr>
              <w:t>1,059,570</w:t>
            </w:r>
          </w:p>
        </w:tc>
        <w:tc>
          <w:tcPr>
            <w:tcW w:w="9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20"/>
              </w:rPr>
            </w:pPr>
            <w:r>
              <w:rPr>
                <w:sz w:val="20"/>
              </w:rPr>
              <w:t>Income tax charge</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956" w:type="dxa"/>
            <w:tcBorders/>
            <w:shd w:fill="F2F2F2" w:val="clear"/>
            <w:vAlign w:val="center"/>
          </w:tcPr>
          <w:p>
            <w:pPr>
              <w:pStyle w:val="TableContents"/>
              <w:bidi w:val="0"/>
              <w:spacing w:before="0" w:after="283"/>
              <w:jc w:val="right"/>
              <w:rPr>
                <w:sz w:val="20"/>
              </w:rPr>
            </w:pPr>
            <w:r>
              <w:rPr>
                <w:sz w:val="20"/>
              </w:rPr>
              <w:t>81,938</w:t>
            </w:r>
          </w:p>
        </w:tc>
        <w:tc>
          <w:tcPr>
            <w:tcW w:w="110" w:type="dxa"/>
            <w:tcBorders/>
            <w:shd w:fill="F2F2F2" w:val="cle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sz w:val="20"/>
              </w:rPr>
            </w:pPr>
            <w:r>
              <w:rPr>
                <w:sz w:val="20"/>
              </w:rPr>
              <w:t>105,342</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sz w:val="20"/>
              </w:rPr>
            </w:pPr>
            <w:r>
              <w:rPr>
                <w:sz w:val="20"/>
              </w:rPr>
              <w:t>185,419</w:t>
            </w:r>
          </w:p>
        </w:tc>
        <w:tc>
          <w:tcPr>
            <w:tcW w:w="85" w:type="dxa"/>
            <w:tcBorders/>
            <w:shd w:fill="F2F2F2" w:val="cle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sz w:val="20"/>
              </w:rPr>
            </w:pPr>
            <w:r>
              <w:rPr>
                <w:sz w:val="20"/>
              </w:rPr>
              <w:t>186,684</w:t>
            </w:r>
          </w:p>
        </w:tc>
        <w:tc>
          <w:tcPr>
            <w:tcW w:w="95"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sz w:val="20"/>
              </w:rPr>
            </w:pPr>
            <w:r>
              <w:rPr>
                <w:sz w:val="20"/>
              </w:rPr>
              <w:t>Equity in earnings of non-consolidated companies</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956" w:type="dxa"/>
            <w:tcBorders/>
            <w:shd w:fill="F2F2F2" w:val="clear"/>
            <w:vAlign w:val="center"/>
          </w:tcPr>
          <w:p>
            <w:pPr>
              <w:pStyle w:val="TableContents"/>
              <w:bidi w:val="0"/>
              <w:spacing w:before="0" w:after="283"/>
              <w:jc w:val="right"/>
              <w:rPr>
                <w:sz w:val="20"/>
              </w:rPr>
            </w:pPr>
            <w:r>
              <w:rPr>
                <w:sz w:val="20"/>
              </w:rPr>
              <w:t>(47,963</w:t>
            </w:r>
          </w:p>
        </w:tc>
        <w:tc>
          <w:tcPr>
            <w:tcW w:w="110" w:type="dxa"/>
            <w:tcBorders/>
            <w:shd w:fill="F2F2F2" w:val="clear"/>
            <w:vAlign w:val="center"/>
          </w:tcPr>
          <w:p>
            <w:pPr>
              <w:pStyle w:val="TableContents"/>
              <w:bidi w:val="0"/>
              <w:spacing w:before="0" w:after="283"/>
              <w:jc w:val="left"/>
              <w:rPr>
                <w:sz w:val="20"/>
              </w:rPr>
            </w:pPr>
            <w:r>
              <w:rPr>
                <w:sz w:val="20"/>
              </w:rPr>
              <w:t>)</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sz w:val="20"/>
              </w:rPr>
            </w:pPr>
            <w:r>
              <w:rPr>
                <w:sz w:val="20"/>
              </w:rPr>
              <w:t>(32,651</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sz w:val="20"/>
              </w:rPr>
            </w:pPr>
            <w:r>
              <w:rPr>
                <w:sz w:val="20"/>
              </w:rPr>
              <w:t>(81,339</w:t>
            </w:r>
          </w:p>
        </w:tc>
        <w:tc>
          <w:tcPr>
            <w:tcW w:w="85" w:type="dxa"/>
            <w:tcBorders/>
            <w:shd w:fill="F2F2F2" w:val="clear"/>
            <w:vAlign w:val="center"/>
          </w:tcPr>
          <w:p>
            <w:pPr>
              <w:pStyle w:val="TableContents"/>
              <w:bidi w:val="0"/>
              <w:spacing w:before="0" w:after="283"/>
              <w:jc w:val="left"/>
              <w:rPr>
                <w:sz w:val="20"/>
              </w:rPr>
            </w:pPr>
            <w:r>
              <w:rPr>
                <w:sz w:val="20"/>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sz w:val="20"/>
              </w:rPr>
            </w:pPr>
            <w:r>
              <w:rPr>
                <w:sz w:val="20"/>
              </w:rPr>
              <w:t>(46,686</w:t>
            </w:r>
          </w:p>
        </w:tc>
        <w:tc>
          <w:tcPr>
            <w:tcW w:w="95" w:type="dxa"/>
            <w:tcBorders/>
            <w:vAlign w:val="center"/>
          </w:tcPr>
          <w:p>
            <w:pPr>
              <w:pStyle w:val="TableContents"/>
              <w:bidi w:val="0"/>
              <w:spacing w:before="0" w:after="283"/>
              <w:jc w:val="left"/>
              <w:rPr>
                <w:sz w:val="20"/>
              </w:rPr>
            </w:pPr>
            <w:r>
              <w:rPr>
                <w:sz w:val="20"/>
              </w:rPr>
              <w:t>)</w:t>
            </w:r>
          </w:p>
        </w:tc>
      </w:tr>
      <w:tr>
        <w:trPr/>
        <w:tc>
          <w:tcPr>
            <w:tcW w:w="4130" w:type="dxa"/>
            <w:tcBorders/>
            <w:vAlign w:val="center"/>
          </w:tcPr>
          <w:p>
            <w:pPr>
              <w:pStyle w:val="TableContents"/>
              <w:bidi w:val="0"/>
              <w:spacing w:before="0" w:after="283"/>
              <w:jc w:val="left"/>
              <w:rPr>
                <w:sz w:val="20"/>
              </w:rPr>
            </w:pPr>
            <w:r>
              <w:rPr>
                <w:sz w:val="20"/>
              </w:rPr>
              <w:t>Financial Results</w:t>
            </w:r>
          </w:p>
        </w:tc>
        <w:tc>
          <w:tcPr>
            <w:tcW w:w="60" w:type="dxa"/>
            <w:tcBorders/>
            <w:vAlign w:val="center"/>
          </w:tcPr>
          <w:p>
            <w:pPr>
              <w:pStyle w:val="TableContents"/>
              <w:bidi w:val="0"/>
              <w:spacing w:before="0" w:after="283"/>
              <w:jc w:val="left"/>
              <w:rPr/>
            </w:pPr>
            <w:r>
              <w:rPr/>
              <w:t> </w:t>
            </w:r>
          </w:p>
        </w:tc>
        <w:tc>
          <w:tcPr>
            <w:tcW w:w="82" w:type="dxa"/>
            <w:tcBorders/>
            <w:shd w:fill="F2F2F2" w:val="clear"/>
            <w:vAlign w:val="center"/>
          </w:tcPr>
          <w:p>
            <w:pPr>
              <w:pStyle w:val="TableContents"/>
              <w:bidi w:val="0"/>
              <w:spacing w:before="0" w:after="283"/>
              <w:jc w:val="left"/>
              <w:rPr/>
            </w:pPr>
            <w:r>
              <w:rPr/>
              <w:t> </w:t>
            </w:r>
          </w:p>
        </w:tc>
        <w:tc>
          <w:tcPr>
            <w:tcW w:w="956" w:type="dxa"/>
            <w:tcBorders/>
            <w:shd w:fill="F2F2F2" w:val="clear"/>
            <w:vAlign w:val="center"/>
          </w:tcPr>
          <w:p>
            <w:pPr>
              <w:pStyle w:val="TableContents"/>
              <w:bidi w:val="0"/>
              <w:spacing w:before="0" w:after="283"/>
              <w:jc w:val="right"/>
              <w:rPr>
                <w:sz w:val="20"/>
              </w:rPr>
            </w:pPr>
            <w:r>
              <w:rPr>
                <w:sz w:val="20"/>
              </w:rPr>
              <w:t>(32,108</w:t>
            </w:r>
          </w:p>
        </w:tc>
        <w:tc>
          <w:tcPr>
            <w:tcW w:w="110" w:type="dxa"/>
            <w:tcBorders/>
            <w:shd w:fill="F2F2F2" w:val="clear"/>
            <w:vAlign w:val="center"/>
          </w:tcPr>
          <w:p>
            <w:pPr>
              <w:pStyle w:val="TableContents"/>
              <w:bidi w:val="0"/>
              <w:spacing w:before="0" w:after="283"/>
              <w:jc w:val="left"/>
              <w:rPr>
                <w:sz w:val="20"/>
              </w:rPr>
            </w:pPr>
            <w:r>
              <w:rPr>
                <w:sz w:val="20"/>
              </w:rPr>
              <w:t>)</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right"/>
              <w:rPr>
                <w:sz w:val="20"/>
              </w:rPr>
            </w:pPr>
            <w:r>
              <w:rPr>
                <w:sz w:val="20"/>
              </w:rPr>
              <w:t>(31,663</w:t>
            </w:r>
          </w:p>
        </w:tc>
        <w:tc>
          <w:tcPr>
            <w:tcW w:w="80" w:type="dxa"/>
            <w:tcBorders/>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3" w:type="dxa"/>
            <w:tcBorders/>
            <w:shd w:fill="F2F2F2" w:val="clear"/>
            <w:vAlign w:val="center"/>
          </w:tcPr>
          <w:p>
            <w:pPr>
              <w:pStyle w:val="TableContents"/>
              <w:bidi w:val="0"/>
              <w:spacing w:before="0" w:after="283"/>
              <w:jc w:val="left"/>
              <w:rPr/>
            </w:pPr>
            <w:r>
              <w:rPr/>
              <w:t> </w:t>
            </w:r>
          </w:p>
        </w:tc>
        <w:tc>
          <w:tcPr>
            <w:tcW w:w="899" w:type="dxa"/>
            <w:tcBorders/>
            <w:shd w:fill="F2F2F2" w:val="clear"/>
            <w:vAlign w:val="center"/>
          </w:tcPr>
          <w:p>
            <w:pPr>
              <w:pStyle w:val="TableContents"/>
              <w:bidi w:val="0"/>
              <w:spacing w:before="0" w:after="283"/>
              <w:jc w:val="right"/>
              <w:rPr>
                <w:sz w:val="20"/>
              </w:rPr>
            </w:pPr>
            <w:r>
              <w:rPr>
                <w:sz w:val="20"/>
              </w:rPr>
              <w:t>(82,507</w:t>
            </w:r>
          </w:p>
        </w:tc>
        <w:tc>
          <w:tcPr>
            <w:tcW w:w="85" w:type="dxa"/>
            <w:tcBorders/>
            <w:shd w:fill="F2F2F2" w:val="clear"/>
            <w:vAlign w:val="center"/>
          </w:tcPr>
          <w:p>
            <w:pPr>
              <w:pStyle w:val="TableContents"/>
              <w:bidi w:val="0"/>
              <w:spacing w:before="0" w:after="283"/>
              <w:jc w:val="left"/>
              <w:rPr>
                <w:sz w:val="20"/>
              </w:rPr>
            </w:pPr>
            <w:r>
              <w:rPr>
                <w:sz w:val="20"/>
              </w:rPr>
              <w:t>)</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sz w:val="20"/>
              </w:rPr>
            </w:pPr>
            <w:r>
              <w:rPr>
                <w:sz w:val="20"/>
              </w:rPr>
              <w:t>(66,921</w:t>
            </w:r>
          </w:p>
        </w:tc>
        <w:tc>
          <w:tcPr>
            <w:tcW w:w="95" w:type="dxa"/>
            <w:tcBorders/>
            <w:vAlign w:val="center"/>
          </w:tcPr>
          <w:p>
            <w:pPr>
              <w:pStyle w:val="TableContents"/>
              <w:bidi w:val="0"/>
              <w:spacing w:before="0" w:after="283"/>
              <w:jc w:val="left"/>
              <w:rPr>
                <w:sz w:val="20"/>
              </w:rPr>
            </w:pPr>
            <w:r>
              <w:rPr>
                <w:sz w:val="20"/>
              </w:rPr>
              <w:t>)</w:t>
            </w:r>
          </w:p>
        </w:tc>
      </w:tr>
      <w:tr>
        <w:trPr/>
        <w:tc>
          <w:tcPr>
            <w:tcW w:w="4130" w:type="dxa"/>
            <w:tcBorders/>
            <w:vAlign w:val="center"/>
          </w:tcPr>
          <w:p>
            <w:pPr>
              <w:pStyle w:val="TableContents"/>
              <w:bidi w:val="0"/>
              <w:spacing w:before="0" w:after="283"/>
              <w:jc w:val="left"/>
              <w:rPr>
                <w:sz w:val="20"/>
              </w:rPr>
            </w:pPr>
            <w:r>
              <w:rPr>
                <w:sz w:val="20"/>
              </w:rPr>
              <w:t>Depreciation and amortization</w:t>
            </w:r>
          </w:p>
        </w:tc>
        <w:tc>
          <w:tcPr>
            <w:tcW w:w="60" w:type="dxa"/>
            <w:tcBorders/>
            <w:vAlign w:val="center"/>
          </w:tcPr>
          <w:p>
            <w:pPr>
              <w:pStyle w:val="TableContents"/>
              <w:bidi w:val="0"/>
              <w:spacing w:before="0" w:after="283"/>
              <w:jc w:val="left"/>
              <w:rPr/>
            </w:pPr>
            <w:r>
              <w:rPr/>
              <w:t> </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155,329</w:t>
            </w:r>
          </w:p>
        </w:tc>
        <w:tc>
          <w:tcPr>
            <w:tcW w:w="11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sz w:val="20"/>
              </w:rPr>
            </w:pPr>
            <w:r>
              <w:rPr>
                <w:sz w:val="20"/>
              </w:rPr>
              <w:t>150,002</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306,769</w:t>
            </w:r>
          </w:p>
        </w:tc>
        <w:tc>
          <w:tcPr>
            <w:tcW w:w="8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tcMar>
              <w:bottom w:w="28" w:type="dxa"/>
            </w:tcMar>
            <w:vAlign w:val="center"/>
          </w:tcPr>
          <w:p>
            <w:pPr>
              <w:pStyle w:val="TableContents"/>
              <w:bidi w:val="0"/>
              <w:spacing w:before="0" w:after="283"/>
              <w:jc w:val="right"/>
              <w:rPr>
                <w:sz w:val="20"/>
              </w:rPr>
            </w:pPr>
            <w:r>
              <w:rPr>
                <w:sz w:val="20"/>
              </w:rPr>
              <w:t>296,408</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b/>
                <w:sz w:val="20"/>
              </w:rPr>
            </w:pPr>
            <w:r>
              <w:rPr>
                <w:b/>
                <w:sz w:val="20"/>
              </w:rPr>
              <w:t>EBITDA</w:t>
            </w:r>
          </w:p>
        </w:tc>
        <w:tc>
          <w:tcPr>
            <w:tcW w:w="60" w:type="dxa"/>
            <w:tcBorders/>
            <w:vAlign w:val="center"/>
          </w:tcPr>
          <w:p>
            <w:pPr>
              <w:pStyle w:val="TableContents"/>
              <w:bidi w:val="0"/>
              <w:spacing w:before="0" w:after="283"/>
              <w:jc w:val="left"/>
              <w:rPr/>
            </w:pPr>
            <w:r>
              <w:rPr/>
              <w:t> </w:t>
            </w:r>
          </w:p>
        </w:tc>
        <w:tc>
          <w:tcPr>
            <w:tcW w:w="8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649,331</w:t>
            </w:r>
          </w:p>
        </w:tc>
        <w:tc>
          <w:tcPr>
            <w:tcW w:w="11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82" w:type="dxa"/>
            <w:tcBorders>
              <w:bottom w:val="single" w:sz="8" w:space="0" w:color="000000"/>
            </w:tcBorders>
            <w:tcMar>
              <w:bottom w:w="28" w:type="dxa"/>
            </w:tcMar>
            <w:vAlign w:val="center"/>
          </w:tcPr>
          <w:p>
            <w:pPr>
              <w:pStyle w:val="TableContents"/>
              <w:bidi w:val="0"/>
              <w:spacing w:before="0" w:after="283"/>
              <w:jc w:val="left"/>
              <w:rPr/>
            </w:pPr>
            <w:r>
              <w:rPr/>
              <w:t> </w:t>
            </w:r>
          </w:p>
        </w:tc>
        <w:tc>
          <w:tcPr>
            <w:tcW w:w="956"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732,736</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1,384,635</w:t>
            </w:r>
          </w:p>
        </w:tc>
        <w:tc>
          <w:tcPr>
            <w:tcW w:w="8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899"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1,429,055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drawing>
          <wp:inline distT="0" distB="0" distL="0" distR="0">
            <wp:extent cx="198120" cy="1828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98120" cy="182880"/>
                    </a:xfrm>
                    <a:prstGeom prst="rect">
                      <a:avLst/>
                    </a:prstGeom>
                  </pic:spPr>
                </pic:pic>
              </a:graphicData>
            </a:graphic>
          </wp:inline>
        </w:drawing>
      </w: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olor w:val="009900"/>
          <w:sz w:val="20"/>
        </w:rPr>
      </w:pPr>
      <w:r>
        <w:rPr>
          <w:color w:val="009900"/>
          <w:sz w:val="20"/>
        </w:rPr>
        <w:t>Free Cash Flow</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Free cash flow is a measure of financial performance, calculated as operating cash flow less capital expenditures. FCF represents the cash that a company is able to generate after spending the money required to maintain or expand its asset base.</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Free cash flow is calculated in the following manner: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Free cash flow = Net cash (used in) provided by operating activities - Capital expenditures.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Free cash flow is a non-IFRS alternative performance measure.</w:t>
      </w:r>
    </w:p>
    <w:p>
      <w:pPr>
        <w:pStyle w:val="TextBody"/>
        <w:bidi w:val="0"/>
        <w:spacing w:before="0" w:after="0"/>
        <w:ind w:left="0" w:right="0" w:hanging="0"/>
        <w:jc w:val="left"/>
        <w:rPr/>
      </w:pPr>
      <w:r>
        <w:rPr/>
        <w:t> </w:t>
      </w:r>
    </w:p>
    <w:tbl>
      <w:tblPr>
        <w:tblW w:w="9470" w:type="dxa"/>
        <w:jc w:val="left"/>
        <w:tblInd w:w="0" w:type="dxa"/>
        <w:tblLayout w:type="fixed"/>
        <w:tblCellMar>
          <w:top w:w="0" w:type="dxa"/>
          <w:left w:w="0" w:type="dxa"/>
          <w:bottom w:w="0" w:type="dxa"/>
          <w:right w:w="0" w:type="dxa"/>
        </w:tblCellMar>
      </w:tblPr>
      <w:tblGrid>
        <w:gridCol w:w="3380"/>
        <w:gridCol w:w="60"/>
        <w:gridCol w:w="102"/>
        <w:gridCol w:w="1288"/>
        <w:gridCol w:w="136"/>
        <w:gridCol w:w="102"/>
        <w:gridCol w:w="102"/>
        <w:gridCol w:w="1288"/>
        <w:gridCol w:w="80"/>
        <w:gridCol w:w="60"/>
        <w:gridCol w:w="85"/>
        <w:gridCol w:w="1204"/>
        <w:gridCol w:w="114"/>
        <w:gridCol w:w="85"/>
        <w:gridCol w:w="85"/>
        <w:gridCol w:w="1204"/>
        <w:gridCol w:w="95"/>
      </w:tblGrid>
      <w:tr>
        <w:trPr/>
        <w:tc>
          <w:tcPr>
            <w:tcW w:w="3380" w:type="dxa"/>
            <w:tcBorders/>
            <w:vAlign w:val="center"/>
          </w:tcPr>
          <w:p>
            <w:pPr>
              <w:pStyle w:val="TableContents"/>
              <w:bidi w:val="0"/>
              <w:spacing w:before="0" w:after="283"/>
              <w:jc w:val="both"/>
              <w:rPr>
                <w:sz w:val="20"/>
              </w:rPr>
            </w:pPr>
            <w:r>
              <w:rPr>
                <w:sz w:val="20"/>
              </w:rPr>
              <w:t>(all amounts in thousands of U.S. dollars)</w:t>
            </w:r>
          </w:p>
        </w:tc>
        <w:tc>
          <w:tcPr>
            <w:tcW w:w="60" w:type="dxa"/>
            <w:tcBorders/>
            <w:vAlign w:val="center"/>
          </w:tcPr>
          <w:p>
            <w:pPr>
              <w:pStyle w:val="TableContents"/>
              <w:bidi w:val="0"/>
              <w:spacing w:before="0" w:after="283"/>
              <w:jc w:val="left"/>
              <w:rPr/>
            </w:pPr>
            <w:r>
              <w:rPr/>
              <w:t> </w:t>
            </w:r>
          </w:p>
        </w:tc>
        <w:tc>
          <w:tcPr>
            <w:tcW w:w="3018" w:type="dxa"/>
            <w:gridSpan w:val="6"/>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Three-month period ended June 30,</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777" w:type="dxa"/>
            <w:gridSpan w:val="6"/>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Six-month period ended June 30,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0"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36"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39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9"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114"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5" w:type="dxa"/>
            <w:tcBorders>
              <w:bottom w:val="single" w:sz="8" w:space="0" w:color="000000"/>
            </w:tcBorders>
            <w:tcMar>
              <w:bottom w:w="28" w:type="dxa"/>
            </w:tcMar>
            <w:vAlign w:val="center"/>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20"/>
              </w:rPr>
            </w:pPr>
            <w:r>
              <w:rPr>
                <w:sz w:val="20"/>
              </w:rPr>
              <w:t>Net cash provided by operating activities</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288" w:type="dxa"/>
            <w:tcBorders/>
            <w:shd w:fill="F2F2F2" w:val="clear"/>
            <w:vAlign w:val="center"/>
          </w:tcPr>
          <w:p>
            <w:pPr>
              <w:pStyle w:val="TableContents"/>
              <w:bidi w:val="0"/>
              <w:spacing w:before="0" w:after="283"/>
              <w:jc w:val="right"/>
              <w:rPr>
                <w:sz w:val="20"/>
              </w:rPr>
            </w:pPr>
            <w:r>
              <w:rPr>
                <w:sz w:val="20"/>
              </w:rPr>
              <w:t>517,525</w:t>
            </w:r>
          </w:p>
        </w:tc>
        <w:tc>
          <w:tcPr>
            <w:tcW w:w="136"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sz w:val="20"/>
              </w:rPr>
            </w:pPr>
            <w:r>
              <w:rPr>
                <w:sz w:val="20"/>
              </w:rPr>
              <w:t>673,147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shd w:fill="F2F2F2" w:val="clear"/>
            <w:vAlign w:val="center"/>
          </w:tcPr>
          <w:p>
            <w:pPr>
              <w:pStyle w:val="TableContents"/>
              <w:bidi w:val="0"/>
              <w:spacing w:before="0" w:after="283"/>
              <w:jc w:val="left"/>
              <w:rPr/>
            </w:pPr>
            <w:r>
              <w:rPr/>
              <w:t> </w:t>
            </w:r>
          </w:p>
        </w:tc>
        <w:tc>
          <w:tcPr>
            <w:tcW w:w="1204" w:type="dxa"/>
            <w:tcBorders/>
            <w:shd w:fill="F2F2F2" w:val="clear"/>
            <w:vAlign w:val="center"/>
          </w:tcPr>
          <w:p>
            <w:pPr>
              <w:pStyle w:val="TableContents"/>
              <w:bidi w:val="0"/>
              <w:spacing w:before="0" w:after="283"/>
              <w:jc w:val="right"/>
              <w:rPr>
                <w:sz w:val="20"/>
              </w:rPr>
            </w:pPr>
            <w:r>
              <w:rPr>
                <w:sz w:val="20"/>
              </w:rPr>
              <w:t>1,135,170</w:t>
            </w:r>
          </w:p>
        </w:tc>
        <w:tc>
          <w:tcPr>
            <w:tcW w:w="114" w:type="dxa"/>
            <w:tcBorders/>
            <w:shd w:fill="F2F2F2" w:val="clear"/>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sz w:val="20"/>
              </w:rPr>
            </w:pPr>
            <w:r>
              <w:rPr>
                <w:sz w:val="20"/>
              </w:rPr>
              <w:t>1,494,147</w:t>
            </w:r>
          </w:p>
        </w:tc>
        <w:tc>
          <w:tcPr>
            <w:tcW w:w="9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sz w:val="20"/>
              </w:rPr>
            </w:pPr>
            <w:r>
              <w:rPr>
                <w:sz w:val="20"/>
              </w:rPr>
              <w:t>Capital expenditures</w:t>
            </w:r>
          </w:p>
        </w:tc>
        <w:tc>
          <w:tcPr>
            <w:tcW w:w="60" w:type="dxa"/>
            <w:tcBorders/>
            <w:vAlign w:val="center"/>
          </w:tcPr>
          <w:p>
            <w:pPr>
              <w:pStyle w:val="TableContents"/>
              <w:bidi w:val="0"/>
              <w:spacing w:before="0" w:after="283"/>
              <w:jc w:val="left"/>
              <w:rPr/>
            </w:pPr>
            <w:r>
              <w:rPr/>
              <w:t> </w:t>
            </w:r>
          </w:p>
        </w:tc>
        <w:tc>
          <w:tcPr>
            <w:tcW w:w="102"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(121,456</w:t>
            </w:r>
          </w:p>
        </w:tc>
        <w:tc>
          <w:tcPr>
            <w:tcW w:w="136"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288" w:type="dxa"/>
            <w:tcBorders>
              <w:bottom w:val="single" w:sz="8" w:space="0" w:color="000000"/>
            </w:tcBorders>
            <w:tcMar>
              <w:bottom w:w="28" w:type="dxa"/>
            </w:tcMar>
            <w:vAlign w:val="center"/>
          </w:tcPr>
          <w:p>
            <w:pPr>
              <w:pStyle w:val="TableContents"/>
              <w:bidi w:val="0"/>
              <w:spacing w:before="0" w:after="283"/>
              <w:jc w:val="right"/>
              <w:rPr>
                <w:sz w:val="20"/>
              </w:rPr>
            </w:pPr>
            <w:r>
              <w:rPr>
                <w:sz w:val="20"/>
              </w:rPr>
              <w:t>(135,454</w:t>
            </w:r>
          </w:p>
        </w:tc>
        <w:tc>
          <w:tcPr>
            <w:tcW w:w="80"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5"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(235,935</w:t>
            </w:r>
          </w:p>
        </w:tc>
        <w:tc>
          <w:tcPr>
            <w:tcW w:w="114"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85" w:type="dxa"/>
            <w:tcBorders>
              <w:bottom w:val="single" w:sz="8" w:space="0" w:color="000000"/>
            </w:tcBorders>
            <w:tcMar>
              <w:bottom w:w="28" w:type="dxa"/>
            </w:tcMar>
            <w:vAlign w:val="center"/>
          </w:tcPr>
          <w:p>
            <w:pPr>
              <w:pStyle w:val="TableContents"/>
              <w:bidi w:val="0"/>
              <w:spacing w:before="0" w:after="283"/>
              <w:jc w:val="left"/>
              <w:rPr/>
            </w:pPr>
            <w:r>
              <w:rPr/>
              <w:t> </w:t>
            </w:r>
          </w:p>
        </w:tc>
        <w:tc>
          <w:tcPr>
            <w:tcW w:w="85" w:type="dxa"/>
            <w:tcBorders>
              <w:bottom w:val="single" w:sz="8" w:space="0" w:color="000000"/>
            </w:tcBorders>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tcMar>
              <w:bottom w:w="28" w:type="dxa"/>
            </w:tcMar>
            <w:vAlign w:val="center"/>
          </w:tcPr>
          <w:p>
            <w:pPr>
              <w:pStyle w:val="TableContents"/>
              <w:bidi w:val="0"/>
              <w:spacing w:before="0" w:after="283"/>
              <w:jc w:val="right"/>
              <w:rPr>
                <w:sz w:val="20"/>
              </w:rPr>
            </w:pPr>
            <w:r>
              <w:rPr>
                <w:sz w:val="20"/>
              </w:rPr>
              <w:t>(309,292</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380" w:type="dxa"/>
            <w:tcBorders/>
            <w:vAlign w:val="center"/>
          </w:tcPr>
          <w:p>
            <w:pPr>
              <w:pStyle w:val="TableContents"/>
              <w:bidi w:val="0"/>
              <w:spacing w:before="0" w:after="283"/>
              <w:jc w:val="left"/>
              <w:rPr>
                <w:b/>
                <w:sz w:val="20"/>
              </w:rPr>
            </w:pPr>
            <w:r>
              <w:rPr>
                <w:b/>
                <w:sz w:val="20"/>
              </w:rPr>
              <w:t>Free cash flow</w:t>
            </w:r>
          </w:p>
        </w:tc>
        <w:tc>
          <w:tcPr>
            <w:tcW w:w="60" w:type="dxa"/>
            <w:tcBorders/>
            <w:vAlign w:val="center"/>
          </w:tcPr>
          <w:p>
            <w:pPr>
              <w:pStyle w:val="TableContents"/>
              <w:bidi w:val="0"/>
              <w:spacing w:before="0" w:after="283"/>
              <w:jc w:val="left"/>
              <w:rPr/>
            </w:pPr>
            <w:r>
              <w:rPr/>
              <w:t> </w:t>
            </w:r>
          </w:p>
        </w:tc>
        <w:tc>
          <w:tcPr>
            <w:tcW w:w="102" w:type="dxa"/>
            <w:tcBorders/>
            <w:shd w:fill="F2F2F2" w:val="clear"/>
            <w:vAlign w:val="center"/>
          </w:tcPr>
          <w:p>
            <w:pPr>
              <w:pStyle w:val="TableContents"/>
              <w:bidi w:val="0"/>
              <w:spacing w:before="0" w:after="283"/>
              <w:jc w:val="left"/>
              <w:rPr/>
            </w:pPr>
            <w:r>
              <w:rPr/>
              <w:t> </w:t>
            </w:r>
          </w:p>
        </w:tc>
        <w:tc>
          <w:tcPr>
            <w:tcW w:w="1288" w:type="dxa"/>
            <w:tcBorders/>
            <w:shd w:fill="F2F2F2" w:val="clear"/>
            <w:vAlign w:val="center"/>
          </w:tcPr>
          <w:p>
            <w:pPr>
              <w:pStyle w:val="TableContents"/>
              <w:bidi w:val="0"/>
              <w:spacing w:before="0" w:after="283"/>
              <w:jc w:val="right"/>
              <w:rPr>
                <w:b/>
                <w:sz w:val="20"/>
              </w:rPr>
            </w:pPr>
            <w:r>
              <w:rPr>
                <w:b/>
                <w:sz w:val="20"/>
              </w:rPr>
              <w:t>396,069</w:t>
            </w:r>
          </w:p>
        </w:tc>
        <w:tc>
          <w:tcPr>
            <w:tcW w:w="136" w:type="dxa"/>
            <w:tcBorders/>
            <w:shd w:fill="F2F2F2" w:val="cle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b/>
                <w:sz w:val="20"/>
              </w:rPr>
            </w:pPr>
            <w:r>
              <w:rPr>
                <w:b/>
                <w:sz w:val="20"/>
              </w:rPr>
              <w:t>537,693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shd w:fill="F2F2F2" w:val="clear"/>
            <w:vAlign w:val="center"/>
          </w:tcPr>
          <w:p>
            <w:pPr>
              <w:pStyle w:val="TableContents"/>
              <w:bidi w:val="0"/>
              <w:spacing w:before="0" w:after="283"/>
              <w:jc w:val="left"/>
              <w:rPr/>
            </w:pPr>
            <w:r>
              <w:rPr/>
              <w:t> </w:t>
            </w:r>
          </w:p>
        </w:tc>
        <w:tc>
          <w:tcPr>
            <w:tcW w:w="1204" w:type="dxa"/>
            <w:tcBorders/>
            <w:shd w:fill="F2F2F2" w:val="clear"/>
            <w:vAlign w:val="center"/>
          </w:tcPr>
          <w:p>
            <w:pPr>
              <w:pStyle w:val="TableContents"/>
              <w:bidi w:val="0"/>
              <w:spacing w:before="0" w:after="283"/>
              <w:jc w:val="right"/>
              <w:rPr>
                <w:b/>
                <w:sz w:val="20"/>
              </w:rPr>
            </w:pPr>
            <w:r>
              <w:rPr>
                <w:b/>
                <w:sz w:val="20"/>
              </w:rPr>
              <w:t>899,235</w:t>
            </w:r>
          </w:p>
        </w:tc>
        <w:tc>
          <w:tcPr>
            <w:tcW w:w="114" w:type="dxa"/>
            <w:tcBorders/>
            <w:shd w:fill="F2F2F2" w:val="clear"/>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b/>
                <w:sz w:val="20"/>
              </w:rPr>
            </w:pPr>
            <w:r>
              <w:rPr>
                <w:b/>
                <w:sz w:val="20"/>
              </w:rPr>
              <w:t>1,184,855</w:t>
            </w:r>
          </w:p>
        </w:tc>
        <w:tc>
          <w:tcPr>
            <w:tcW w:w="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olor w:val="009900"/>
          <w:sz w:val="20"/>
        </w:rPr>
      </w:pPr>
      <w:r>
        <w:rPr>
          <w:color w:val="009900"/>
          <w:sz w:val="20"/>
        </w:rPr>
        <w:t>Net Cash / (Debt)</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both"/>
        <w:rPr>
          <w:sz w:val="20"/>
        </w:rPr>
      </w:pPr>
      <w:r>
        <w:rPr>
          <w:sz w:val="20"/>
        </w:rPr>
        <w:t>This is the net balance of cash and cash equivalents, other current investments and fixed income investments held to maturity less total borrowings. It provides a summary of the financial solvency and liquidity of the company. Net cash / (debt) is widely used by investors and rating agencies and creditors to assess the company’s leverage, financial strength, flexibility and risks.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Net cash/ debt is calculated in the following manner: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Net cash = Cash and cash equivalents + Other investments (Current and Non-Current)+/- Derivatives hedging borrowings and investments - Borrowings (Current and Non-Current).</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Net cash/debt is a non-IFRS alternative performance measure.</w:t>
      </w:r>
    </w:p>
    <w:p>
      <w:pPr>
        <w:pStyle w:val="TextBody"/>
        <w:bidi w:val="0"/>
        <w:spacing w:before="0" w:after="0"/>
        <w:ind w:left="0" w:right="0" w:hanging="0"/>
        <w:jc w:val="left"/>
        <w:rPr/>
      </w:pPr>
      <w:r>
        <w:rPr/>
        <w:t> </w:t>
      </w:r>
    </w:p>
    <w:tbl>
      <w:tblPr>
        <w:tblW w:w="6115" w:type="dxa"/>
        <w:jc w:val="left"/>
        <w:tblInd w:w="0" w:type="dxa"/>
        <w:tblLayout w:type="fixed"/>
        <w:tblCellMar>
          <w:top w:w="0" w:type="dxa"/>
          <w:left w:w="0" w:type="dxa"/>
          <w:bottom w:w="0" w:type="dxa"/>
          <w:right w:w="0" w:type="dxa"/>
        </w:tblCellMar>
      </w:tblPr>
      <w:tblGrid>
        <w:gridCol w:w="4010"/>
        <w:gridCol w:w="60"/>
        <w:gridCol w:w="60"/>
        <w:gridCol w:w="845"/>
        <w:gridCol w:w="80"/>
        <w:gridCol w:w="60"/>
        <w:gridCol w:w="60"/>
        <w:gridCol w:w="845"/>
        <w:gridCol w:w="95"/>
      </w:tblGrid>
      <w:tr>
        <w:trPr/>
        <w:tc>
          <w:tcPr>
            <w:tcW w:w="4010" w:type="dxa"/>
            <w:tcBorders/>
            <w:vAlign w:val="center"/>
          </w:tcPr>
          <w:p>
            <w:pPr>
              <w:pStyle w:val="TableContents"/>
              <w:bidi w:val="0"/>
              <w:spacing w:before="0" w:after="283"/>
              <w:jc w:val="left"/>
              <w:rPr>
                <w:sz w:val="20"/>
              </w:rPr>
            </w:pPr>
            <w:r>
              <w:rPr>
                <w:sz w:val="20"/>
              </w:rPr>
              <w:t>(all amounts in thousands of U.S. dollars)</w:t>
            </w:r>
          </w:p>
        </w:tc>
        <w:tc>
          <w:tcPr>
            <w:tcW w:w="60" w:type="dxa"/>
            <w:tcBorders/>
            <w:vAlign w:val="center"/>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At June 30,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sz w:val="20"/>
              </w:rPr>
            </w:pPr>
            <w:r>
              <w:rPr>
                <w:sz w:val="20"/>
              </w:rPr>
              <w:t>Cash and cash equivalents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557,057</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572,289</w:t>
            </w:r>
          </w:p>
        </w:tc>
        <w:tc>
          <w:tcPr>
            <w:tcW w:w="9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sz w:val="20"/>
              </w:rPr>
            </w:pPr>
            <w:r>
              <w:rPr>
                <w:sz w:val="20"/>
              </w:rPr>
              <w:t>Other current investments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2,225,725</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2,482,514</w:t>
            </w:r>
          </w:p>
        </w:tc>
        <w:tc>
          <w:tcPr>
            <w:tcW w:w="9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sz w:val="20"/>
              </w:rPr>
            </w:pPr>
            <w:r>
              <w:rPr>
                <w:sz w:val="20"/>
              </w:rPr>
              <w:t>Non-current investments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1,082,192</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1,002,523</w:t>
            </w:r>
          </w:p>
        </w:tc>
        <w:tc>
          <w:tcPr>
            <w:tcW w:w="9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sz w:val="20"/>
              </w:rPr>
            </w:pPr>
            <w:r>
              <w:rPr>
                <w:sz w:val="20"/>
              </w:rPr>
              <w:t>Derivatives hedging borrowings and investments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1,265</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(3,698</w:t>
            </w:r>
          </w:p>
        </w:tc>
        <w:tc>
          <w:tcPr>
            <w:tcW w:w="95" w:type="dxa"/>
            <w:tcBorders/>
            <w:vAlign w:val="center"/>
          </w:tcPr>
          <w:p>
            <w:pPr>
              <w:pStyle w:val="TableContents"/>
              <w:bidi w:val="0"/>
              <w:spacing w:before="0" w:after="283"/>
              <w:jc w:val="left"/>
              <w:rPr>
                <w:sz w:val="20"/>
              </w:rPr>
            </w:pPr>
            <w:r>
              <w:rPr>
                <w:sz w:val="20"/>
              </w:rPr>
              <w:t>)</w:t>
            </w:r>
          </w:p>
        </w:tc>
      </w:tr>
      <w:tr>
        <w:trPr/>
        <w:tc>
          <w:tcPr>
            <w:tcW w:w="4010" w:type="dxa"/>
            <w:tcBorders/>
            <w:vAlign w:val="center"/>
          </w:tcPr>
          <w:p>
            <w:pPr>
              <w:pStyle w:val="TableContents"/>
              <w:bidi w:val="0"/>
              <w:spacing w:before="0" w:after="283"/>
              <w:jc w:val="left"/>
              <w:rPr>
                <w:sz w:val="20"/>
              </w:rPr>
            </w:pPr>
            <w:r>
              <w:rPr>
                <w:sz w:val="20"/>
              </w:rPr>
              <w:t>Current borrowings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845" w:type="dxa"/>
            <w:tcBorders/>
            <w:shd w:fill="F2F2F2" w:val="clear"/>
            <w:vAlign w:val="center"/>
          </w:tcPr>
          <w:p>
            <w:pPr>
              <w:pStyle w:val="TableContents"/>
              <w:bidi w:val="0"/>
              <w:spacing w:before="0" w:after="283"/>
              <w:jc w:val="right"/>
              <w:rPr>
                <w:sz w:val="20"/>
              </w:rPr>
            </w:pPr>
            <w:r>
              <w:rPr>
                <w:sz w:val="20"/>
              </w:rPr>
              <w:t>(301,534</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(319,919</w:t>
            </w:r>
          </w:p>
        </w:tc>
        <w:tc>
          <w:tcPr>
            <w:tcW w:w="95" w:type="dxa"/>
            <w:tcBorders/>
            <w:vAlign w:val="center"/>
          </w:tcPr>
          <w:p>
            <w:pPr>
              <w:pStyle w:val="TableContents"/>
              <w:bidi w:val="0"/>
              <w:spacing w:before="0" w:after="283"/>
              <w:jc w:val="left"/>
              <w:rPr>
                <w:sz w:val="20"/>
              </w:rPr>
            </w:pPr>
            <w:r>
              <w:rPr>
                <w:sz w:val="20"/>
              </w:rPr>
              <w:t>)</w:t>
            </w:r>
          </w:p>
        </w:tc>
      </w:tr>
      <w:tr>
        <w:trPr/>
        <w:tc>
          <w:tcPr>
            <w:tcW w:w="4010" w:type="dxa"/>
            <w:tcBorders/>
            <w:vAlign w:val="center"/>
          </w:tcPr>
          <w:p>
            <w:pPr>
              <w:pStyle w:val="TableContents"/>
              <w:bidi w:val="0"/>
              <w:spacing w:before="0" w:after="283"/>
              <w:jc w:val="left"/>
              <w:rPr>
                <w:sz w:val="20"/>
              </w:rPr>
            </w:pPr>
            <w:r>
              <w:rPr>
                <w:sz w:val="20"/>
              </w:rPr>
              <w:t>Non-current borrowings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(357</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sz w:val="20"/>
              </w:rPr>
            </w:pPr>
            <w:r>
              <w:rPr>
                <w:sz w:val="20"/>
              </w:rPr>
              <w:t>(4,361</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4010" w:type="dxa"/>
            <w:tcBorders/>
            <w:vAlign w:val="center"/>
          </w:tcPr>
          <w:p>
            <w:pPr>
              <w:pStyle w:val="TableContents"/>
              <w:bidi w:val="0"/>
              <w:spacing w:before="0" w:after="283"/>
              <w:jc w:val="left"/>
              <w:rPr>
                <w:b/>
                <w:sz w:val="20"/>
              </w:rPr>
            </w:pPr>
            <w:r>
              <w:rPr>
                <w:b/>
                <w:sz w:val="20"/>
              </w:rPr>
              <w:t>Net cash / (debt)</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3,564,348</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3,729,348</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drawing>
          <wp:inline distT="0" distB="0" distL="0" distR="0">
            <wp:extent cx="198120" cy="18288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98120" cy="182880"/>
                    </a:xfrm>
                    <a:prstGeom prst="rect">
                      <a:avLst/>
                    </a:prstGeom>
                  </pic:spPr>
                </pic:pic>
              </a:graphicData>
            </a:graphic>
          </wp:inline>
        </w:drawing>
      </w:r>
      <w:r>
        <w:rPr/>
        <w:t> </w:t>
      </w:r>
    </w:p>
    <w:p>
      <w:pPr>
        <w:pStyle w:val="TextBody"/>
        <w:bidi w:val="0"/>
        <w:spacing w:before="0" w:after="0"/>
        <w:ind w:left="0" w:right="0" w:hanging="0"/>
        <w:jc w:val="left"/>
        <w:rPr>
          <w:color w:val="009900"/>
        </w:rPr>
      </w:pPr>
      <w:r>
        <w:rPr>
          <w:color w:val="009900"/>
        </w:rPr>
        <w:t> </w:t>
      </w:r>
    </w:p>
    <w:p>
      <w:pPr>
        <w:pStyle w:val="TextBody"/>
        <w:bidi w:val="0"/>
        <w:spacing w:before="0" w:after="0"/>
        <w:ind w:left="0" w:right="0" w:hanging="0"/>
        <w:jc w:val="left"/>
        <w:rPr>
          <w:color w:val="009900"/>
          <w:sz w:val="20"/>
        </w:rPr>
      </w:pPr>
      <w:r>
        <w:rPr>
          <w:color w:val="009900"/>
          <w:sz w:val="20"/>
        </w:rPr>
        <w:t>Operating working capital days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Operating working capital is the difference between the main operating components of current assets and current liabilities. Operating working capital is a measure of a company’s operational efficiency, and short-term financial health.</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Operating working capital days is calculated in the following manner:</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Operating working capital days = [(Inventories + Trade receivables – Trade payables – Customer advances) / Annualized quarterly sales ] x 365.</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Operating working capital days is a non-IFRS alternative performance measure.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680" w:type="dxa"/>
        <w:jc w:val="left"/>
        <w:tblInd w:w="0" w:type="dxa"/>
        <w:tblLayout w:type="fixed"/>
        <w:tblCellMar>
          <w:top w:w="0" w:type="dxa"/>
          <w:left w:w="0" w:type="dxa"/>
          <w:bottom w:w="0" w:type="dxa"/>
          <w:right w:w="0" w:type="dxa"/>
        </w:tblCellMar>
      </w:tblPr>
      <w:tblGrid>
        <w:gridCol w:w="3365"/>
        <w:gridCol w:w="60"/>
        <w:gridCol w:w="60"/>
        <w:gridCol w:w="950"/>
        <w:gridCol w:w="80"/>
        <w:gridCol w:w="60"/>
        <w:gridCol w:w="60"/>
        <w:gridCol w:w="950"/>
        <w:gridCol w:w="95"/>
      </w:tblGrid>
      <w:tr>
        <w:trPr/>
        <w:tc>
          <w:tcPr>
            <w:tcW w:w="3365" w:type="dxa"/>
            <w:tcBorders/>
            <w:vAlign w:val="center"/>
          </w:tcPr>
          <w:p>
            <w:pPr>
              <w:pStyle w:val="TableContents"/>
              <w:bidi w:val="0"/>
              <w:spacing w:before="0" w:after="283"/>
              <w:jc w:val="left"/>
              <w:rPr>
                <w:sz w:val="20"/>
              </w:rPr>
            </w:pPr>
            <w:r>
              <w:rPr>
                <w:sz w:val="20"/>
              </w:rPr>
              <w:t>(all amounts in thousands of U.S. dollars)</w:t>
            </w:r>
          </w:p>
        </w:tc>
        <w:tc>
          <w:tcPr>
            <w:tcW w:w="60" w:type="dxa"/>
            <w:tcBorders/>
            <w:vAlign w:val="center"/>
          </w:tcPr>
          <w:p>
            <w:pPr>
              <w:pStyle w:val="TableContents"/>
              <w:bidi w:val="0"/>
              <w:spacing w:before="0" w:after="283"/>
              <w:jc w:val="left"/>
              <w:rPr/>
            </w:pPr>
            <w:r>
              <w:rPr/>
              <w:t> </w:t>
            </w:r>
          </w:p>
        </w:tc>
        <w:tc>
          <w:tcPr>
            <w:tcW w:w="216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At June 30,</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shd w:fill="F2F2F2" w:val="clear"/>
            <w:tcMar>
              <w:bottom w:w="28" w:type="dxa"/>
            </w:tcMar>
            <w:vAlign w:val="center"/>
          </w:tcPr>
          <w:p>
            <w:pPr>
              <w:pStyle w:val="TableContents"/>
              <w:bidi w:val="0"/>
              <w:spacing w:before="0" w:after="283"/>
              <w:jc w:val="center"/>
              <w:rPr>
                <w:b/>
                <w:sz w:val="20"/>
              </w:rPr>
            </w:pPr>
            <w:r>
              <w:rPr>
                <w:b/>
                <w:sz w:val="20"/>
              </w:rPr>
              <w:t>2026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20"/>
              </w:rPr>
            </w:pPr>
            <w:r>
              <w:rPr>
                <w:sz w:val="20"/>
              </w:rPr>
              <w:t>Inventories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3,716,159</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3,486,537</w:t>
            </w:r>
          </w:p>
        </w:tc>
        <w:tc>
          <w:tcPr>
            <w:tcW w:w="9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20"/>
              </w:rPr>
            </w:pPr>
            <w:r>
              <w:rPr>
                <w:sz w:val="20"/>
              </w:rPr>
              <w:t>Trade receivables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1,927,777</w:t>
            </w:r>
          </w:p>
        </w:tc>
        <w:tc>
          <w:tcPr>
            <w:tcW w:w="80" w:type="dxa"/>
            <w:tcBorders/>
            <w:shd w:fill="F2F2F2"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1,892,116</w:t>
            </w:r>
          </w:p>
        </w:tc>
        <w:tc>
          <w:tcPr>
            <w:tcW w:w="9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sz w:val="20"/>
              </w:rPr>
            </w:pPr>
            <w:r>
              <w:rPr>
                <w:sz w:val="20"/>
              </w:rPr>
              <w:t>Customer advances</w:t>
            </w:r>
          </w:p>
        </w:tc>
        <w:tc>
          <w:tcPr>
            <w:tcW w:w="60" w:type="dxa"/>
            <w:tcBorders/>
            <w:vAlign w:val="center"/>
          </w:tcPr>
          <w:p>
            <w:pPr>
              <w:pStyle w:val="TableContents"/>
              <w:bidi w:val="0"/>
              <w:spacing w:before="0" w:after="283"/>
              <w:jc w:val="left"/>
              <w:rPr/>
            </w:pPr>
            <w:r>
              <w:rPr/>
              <w:t> </w:t>
            </w:r>
          </w:p>
        </w:tc>
        <w:tc>
          <w:tcPr>
            <w:tcW w:w="60" w:type="dxa"/>
            <w:tcBorders/>
            <w:shd w:fill="F2F2F2" w:val="clear"/>
            <w:vAlign w:val="center"/>
          </w:tcPr>
          <w:p>
            <w:pPr>
              <w:pStyle w:val="TableContents"/>
              <w:bidi w:val="0"/>
              <w:spacing w:before="0" w:after="283"/>
              <w:jc w:val="left"/>
              <w:rPr/>
            </w:pPr>
            <w:r>
              <w:rPr/>
              <w:t> </w:t>
            </w:r>
          </w:p>
        </w:tc>
        <w:tc>
          <w:tcPr>
            <w:tcW w:w="950" w:type="dxa"/>
            <w:tcBorders/>
            <w:shd w:fill="F2F2F2" w:val="clear"/>
            <w:vAlign w:val="center"/>
          </w:tcPr>
          <w:p>
            <w:pPr>
              <w:pStyle w:val="TableContents"/>
              <w:bidi w:val="0"/>
              <w:spacing w:before="0" w:after="283"/>
              <w:jc w:val="right"/>
              <w:rPr>
                <w:sz w:val="20"/>
              </w:rPr>
            </w:pPr>
            <w:r>
              <w:rPr>
                <w:sz w:val="20"/>
              </w:rPr>
              <w:t>(129,925</w:t>
            </w:r>
          </w:p>
        </w:tc>
        <w:tc>
          <w:tcPr>
            <w:tcW w:w="80" w:type="dxa"/>
            <w:tcBorders/>
            <w:shd w:fill="F2F2F2" w:val="clear"/>
            <w:vAlign w:val="center"/>
          </w:tcPr>
          <w:p>
            <w:pPr>
              <w:pStyle w:val="TableContents"/>
              <w:bidi w:val="0"/>
              <w:spacing w:before="0" w:after="283"/>
              <w:jc w:val="left"/>
              <w:rPr>
                <w:sz w:val="20"/>
              </w:rPr>
            </w:pPr>
            <w:r>
              <w:rPr>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(139,751</w:t>
            </w:r>
          </w:p>
        </w:tc>
        <w:tc>
          <w:tcPr>
            <w:tcW w:w="95" w:type="dxa"/>
            <w:tcBorders/>
            <w:vAlign w:val="center"/>
          </w:tcPr>
          <w:p>
            <w:pPr>
              <w:pStyle w:val="TableContents"/>
              <w:bidi w:val="0"/>
              <w:spacing w:before="0" w:after="283"/>
              <w:jc w:val="left"/>
              <w:rPr>
                <w:sz w:val="20"/>
              </w:rPr>
            </w:pPr>
            <w:r>
              <w:rPr>
                <w:sz w:val="20"/>
              </w:rPr>
              <w:t>)</w:t>
            </w:r>
          </w:p>
        </w:tc>
      </w:tr>
      <w:tr>
        <w:trPr/>
        <w:tc>
          <w:tcPr>
            <w:tcW w:w="3365" w:type="dxa"/>
            <w:tcBorders/>
            <w:vAlign w:val="center"/>
          </w:tcPr>
          <w:p>
            <w:pPr>
              <w:pStyle w:val="TableContents"/>
              <w:bidi w:val="0"/>
              <w:spacing w:before="0" w:after="283"/>
              <w:jc w:val="left"/>
              <w:rPr>
                <w:sz w:val="20"/>
              </w:rPr>
            </w:pPr>
            <w:r>
              <w:rPr>
                <w:sz w:val="20"/>
              </w:rPr>
              <w:t>Trade payables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sz w:val="20"/>
              </w:rPr>
            </w:pPr>
            <w:r>
              <w:rPr>
                <w:sz w:val="20"/>
              </w:rPr>
              <w:t>(865,625</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sz w:val="20"/>
              </w:rPr>
            </w:pPr>
            <w:r>
              <w:rPr>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sz w:val="20"/>
              </w:rPr>
            </w:pPr>
            <w:r>
              <w:rPr>
                <w:sz w:val="20"/>
              </w:rPr>
              <w:t>(910,427</w:t>
            </w:r>
          </w:p>
        </w:tc>
        <w:tc>
          <w:tcPr>
            <w:tcW w:w="95" w:type="dxa"/>
            <w:tcBorders>
              <w:bottom w:val="single" w:sz="8" w:space="0" w:color="000000"/>
            </w:tcBorders>
            <w:tcMar>
              <w:bottom w:w="28" w:type="dxa"/>
            </w:tcMar>
            <w:vAlign w:val="center"/>
          </w:tcPr>
          <w:p>
            <w:pPr>
              <w:pStyle w:val="TableContents"/>
              <w:bidi w:val="0"/>
              <w:spacing w:before="0" w:after="283"/>
              <w:jc w:val="left"/>
              <w:rPr>
                <w:sz w:val="20"/>
              </w:rPr>
            </w:pPr>
            <w:r>
              <w:rPr>
                <w:sz w:val="20"/>
              </w:rPr>
              <w:t>)</w:t>
            </w:r>
          </w:p>
        </w:tc>
      </w:tr>
      <w:tr>
        <w:trPr/>
        <w:tc>
          <w:tcPr>
            <w:tcW w:w="3365" w:type="dxa"/>
            <w:tcBorders/>
            <w:vAlign w:val="center"/>
          </w:tcPr>
          <w:p>
            <w:pPr>
              <w:pStyle w:val="TableContents"/>
              <w:bidi w:val="0"/>
              <w:spacing w:before="0" w:after="283"/>
              <w:jc w:val="left"/>
              <w:rPr>
                <w:b/>
                <w:sz w:val="20"/>
              </w:rPr>
            </w:pPr>
            <w:r>
              <w:rPr>
                <w:b/>
                <w:sz w:val="20"/>
              </w:rPr>
              <w:t>Operating working capital</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4,648,386</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4,328,475</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b/>
                <w:sz w:val="20"/>
              </w:rPr>
            </w:pPr>
            <w:r>
              <w:rPr>
                <w:b/>
                <w:sz w:val="20"/>
              </w:rPr>
              <w:t>Annualized quarterly sales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11,866,504</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12,342,688</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b/>
                <w:sz w:val="20"/>
              </w:rPr>
            </w:pPr>
            <w:r>
              <w:rPr>
                <w:b/>
                <w:sz w:val="20"/>
              </w:rPr>
              <w:t>Operating working capital days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2F2F2" w:val="clear"/>
            <w:tcMar>
              <w:bottom w:w="28" w:type="dxa"/>
            </w:tcMar>
            <w:vAlign w:val="center"/>
          </w:tcPr>
          <w:p>
            <w:pPr>
              <w:pStyle w:val="TableContents"/>
              <w:bidi w:val="0"/>
              <w:spacing w:before="0" w:after="283"/>
              <w:jc w:val="right"/>
              <w:rPr>
                <w:b/>
                <w:sz w:val="20"/>
              </w:rPr>
            </w:pPr>
            <w:r>
              <w:rPr>
                <w:b/>
                <w:sz w:val="20"/>
              </w:rPr>
              <w:t>143</w:t>
            </w:r>
          </w:p>
        </w:tc>
        <w:tc>
          <w:tcPr>
            <w:tcW w:w="80" w:type="dxa"/>
            <w:tcBorders>
              <w:bottom w:val="single" w:sz="8" w:space="0" w:color="000000"/>
            </w:tcBorders>
            <w:shd w:fill="F2F2F2" w:val="clear"/>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128</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4519</Words>
  <Characters>24011</Characters>
  <CharactersWithSpaces>29765</CharactersWithSpaces>
  <Paragraphs>3381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