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12,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23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u w:val="single" w:color="auto"/>
          <w:color w:val="auto"/>
        </w:rPr>
        <w:t>Ö</w:t>
      </w:r>
      <w:r>
        <w:rPr>
          <w:rFonts w:ascii="Times New Roman" w:cs="Times New Roman" w:eastAsia="Times New Roman" w:hAnsi="Times New Roman"/>
          <w:sz w:val="18"/>
          <w:szCs w:val="18"/>
          <w:color w:val="auto"/>
        </w:rPr>
        <w:t xml:space="preserve"> Form 40-F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the Summary of the resolutions adopted in the Annual General Meeting of Shareholders (the “Meeting”) of</w:t>
      </w:r>
    </w:p>
    <w:p>
      <w:pPr>
        <w:ind w:right="20"/>
        <w:spacing w:after="0" w:line="209" w:lineRule="auto"/>
        <w:rPr>
          <w:sz w:val="20"/>
          <w:szCs w:val="20"/>
          <w:color w:val="auto"/>
        </w:rPr>
      </w:pPr>
      <w:r>
        <w:rPr>
          <w:rFonts w:ascii="Times New Roman" w:cs="Times New Roman" w:eastAsia="Times New Roman" w:hAnsi="Times New Roman"/>
          <w:sz w:val="18"/>
          <w:szCs w:val="18"/>
          <w:color w:val="auto"/>
        </w:rPr>
        <w:t>Tenaris S.A. (the "Company") held on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2026, in the Company’s registered office at 26, Boulevard Royal,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L-2449 Luxembourg, Grand-Duchy of Luxembourg, at 10:00 (Central European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May 12,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517525</wp:posOffset>
            </wp:positionV>
            <wp:extent cx="1122680"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008000"/>
        </w:rPr>
        <w:t>Summary of the resolutions adopted in the Annual General Meeting of Shareholders (the “</w:t>
      </w:r>
      <w:r>
        <w:rPr>
          <w:rFonts w:ascii="Times New Roman" w:cs="Times New Roman" w:eastAsia="Times New Roman" w:hAnsi="Times New Roman"/>
          <w:sz w:val="18"/>
          <w:szCs w:val="18"/>
          <w:b w:val="1"/>
          <w:bCs w:val="1"/>
          <w:u w:val="single" w:color="auto"/>
          <w:color w:val="008000"/>
        </w:rPr>
        <w:t>Meeting</w:t>
      </w:r>
      <w:r>
        <w:rPr>
          <w:rFonts w:ascii="Times New Roman" w:cs="Times New Roman" w:eastAsia="Times New Roman" w:hAnsi="Times New Roman"/>
          <w:sz w:val="18"/>
          <w:szCs w:val="18"/>
          <w:b w:val="1"/>
          <w:bCs w:val="1"/>
          <w:color w:val="008000"/>
        </w:rPr>
        <w:t>”) of Tenaris S.A. (the "</w:t>
      </w:r>
      <w:r>
        <w:rPr>
          <w:rFonts w:ascii="Times New Roman" w:cs="Times New Roman" w:eastAsia="Times New Roman" w:hAnsi="Times New Roman"/>
          <w:sz w:val="18"/>
          <w:szCs w:val="18"/>
          <w:b w:val="1"/>
          <w:bCs w:val="1"/>
          <w:u w:val="single" w:color="auto"/>
          <w:color w:val="008000"/>
        </w:rPr>
        <w:t>Company</w:t>
      </w:r>
      <w:r>
        <w:rPr>
          <w:rFonts w:ascii="Times New Roman" w:cs="Times New Roman" w:eastAsia="Times New Roman" w:hAnsi="Times New Roman"/>
          <w:sz w:val="18"/>
          <w:szCs w:val="18"/>
          <w:b w:val="1"/>
          <w:bCs w:val="1"/>
          <w:color w:val="008000"/>
        </w:rPr>
        <w:t>") held on 12</w:t>
      </w:r>
      <w:r>
        <w:rPr>
          <w:rFonts w:ascii="Times New Roman" w:cs="Times New Roman" w:eastAsia="Times New Roman" w:hAnsi="Times New Roman"/>
          <w:sz w:val="29"/>
          <w:szCs w:val="29"/>
          <w:b w:val="1"/>
          <w:bCs w:val="1"/>
          <w:color w:val="008000"/>
          <w:vertAlign w:val="superscript"/>
        </w:rPr>
        <w:t>th</w:t>
      </w:r>
      <w:r>
        <w:rPr>
          <w:rFonts w:ascii="Times New Roman" w:cs="Times New Roman" w:eastAsia="Times New Roman" w:hAnsi="Times New Roman"/>
          <w:sz w:val="18"/>
          <w:szCs w:val="18"/>
          <w:b w:val="1"/>
          <w:bCs w:val="1"/>
          <w:color w:val="008000"/>
        </w:rPr>
        <w:t xml:space="preserve"> May 2026, in the Company’s registered office at 26, Boulevard Royal, 4</w:t>
      </w:r>
      <w:r>
        <w:rPr>
          <w:rFonts w:ascii="Times New Roman" w:cs="Times New Roman" w:eastAsia="Times New Roman" w:hAnsi="Times New Roman"/>
          <w:sz w:val="29"/>
          <w:szCs w:val="29"/>
          <w:b w:val="1"/>
          <w:bCs w:val="1"/>
          <w:color w:val="008000"/>
          <w:vertAlign w:val="superscript"/>
        </w:rPr>
        <w:t>th</w:t>
      </w:r>
      <w:r>
        <w:rPr>
          <w:rFonts w:ascii="Times New Roman" w:cs="Times New Roman" w:eastAsia="Times New Roman" w:hAnsi="Times New Roman"/>
          <w:sz w:val="18"/>
          <w:szCs w:val="18"/>
          <w:b w:val="1"/>
          <w:bCs w:val="1"/>
          <w:color w:val="008000"/>
        </w:rPr>
        <w:t xml:space="preserve"> Floor, L-2449 Luxembourg, Grand-Duchy of Luxembourg, at 10:00 (Central European Time)</w:t>
      </w:r>
    </w:p>
    <w:p>
      <w:pPr>
        <w:spacing w:after="0" w:line="194" w:lineRule="exact"/>
        <w:rPr>
          <w:sz w:val="20"/>
          <w:szCs w:val="20"/>
          <w:color w:val="auto"/>
        </w:rPr>
      </w:pPr>
    </w:p>
    <w:p>
      <w:pPr>
        <w:jc w:val="both"/>
        <w:ind w:left="340" w:hanging="332"/>
        <w:spacing w:after="0" w:line="259" w:lineRule="auto"/>
        <w:tabs>
          <w:tab w:leader="none" w:pos="340" w:val="left"/>
        </w:tabs>
        <w:numPr>
          <w:ilvl w:val="0"/>
          <w:numId w:val="1"/>
        </w:numPr>
        <w:rPr>
          <w:rFonts w:ascii="Times New Roman" w:cs="Times New Roman" w:eastAsia="Times New Roman" w:hAnsi="Times New Roman"/>
          <w:sz w:val="18"/>
          <w:szCs w:val="18"/>
          <w:b w:val="1"/>
          <w:bCs w:val="1"/>
          <w:color w:val="7F7F7F"/>
        </w:rPr>
      </w:pPr>
      <w:r>
        <w:rPr>
          <w:rFonts w:ascii="Times New Roman" w:cs="Times New Roman" w:eastAsia="Times New Roman" w:hAnsi="Times New Roman"/>
          <w:sz w:val="18"/>
          <w:szCs w:val="18"/>
          <w:b w:val="1"/>
          <w:bCs w:val="1"/>
          <w:color w:val="7F7F7F"/>
        </w:rPr>
        <w:t>Consideration of the Company's consolidated annual management report for the year ended 31st December 2025, which includes the following information and certifications required by applicable law: (i) consolidated financial and non-financial information (or sustainability statement) for the year ended 31st December 2025; (ii) related management certifications on the Company's consolidated financial statements as of and for the year ended 31st December 2025, and on the annual accounts as at 31st December 2025; and (iii) external auditors' reports on such consolidated financial statements, annual accounts and non-financial information (or sustainability statement).</w:t>
      </w:r>
    </w:p>
    <w:p>
      <w:pPr>
        <w:spacing w:after="0" w:line="187"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Meeting resolved to acknowledge the Company’s consolidated annual management report for the year 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 which includes the following information and certifications required by applicable law: (i) consolidated financial and non-financial information (or sustainability statement) for the year 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 (ii) related management certifications on the Company's consolidated financial statements as of and for the year</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 and on the annual accounts as at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 and (iii) external auditors' reports on such consolidated financial statements, annual accounts and non-financial information (or sustainability statement).</w:t>
      </w:r>
    </w:p>
    <w:p>
      <w:pPr>
        <w:spacing w:after="0" w:line="18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t>Approval of the Company’s consolidated financial statements as of and for the year ended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resolved to approve the Company’s consolidated financial statements as of and for the year 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w:t>
      </w:r>
    </w:p>
    <w:p>
      <w:pPr>
        <w:spacing w:after="0" w:line="119"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t>Approval of the Company’s annual accounts as at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resolved to approve the Company’s annual accounts as at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w:t>
      </w:r>
    </w:p>
    <w:p>
      <w:pPr>
        <w:spacing w:after="0" w:line="119"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t>Allocation of results and approval of dividend payment for the year ended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2025.</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Meeting resolved (i) to approve an ,Annual Dividend (payable out of the Company’s retained earnings account) of US$0.89 per share (or US$1.78 per ADS), which represents an aggregate sum of approximately US$0.9 billion, it being understood that the Annual Dividend approved pursuant to this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resolution includes the interim dividend of $0.29 per share ($0.58 per ADS) or approximately $0.3 billion, paid on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2025, out of the Company’s retained earnings account; (ii) to authorize the Board of Directors to determine or amend, in its discretion, the terms and conditions of the Dividend Balance so approved, including the applicable record date, (iii) to pay the Dividend Balance so approved, in the amount of US$0.60 per share (or</w:t>
      </w:r>
    </w:p>
    <w:p>
      <w:pPr>
        <w:jc w:val="both"/>
        <w:spacing w:after="0" w:line="228" w:lineRule="auto"/>
        <w:rPr>
          <w:sz w:val="20"/>
          <w:szCs w:val="20"/>
          <w:color w:val="auto"/>
        </w:rPr>
      </w:pPr>
      <w:r>
        <w:rPr>
          <w:rFonts w:ascii="Times New Roman" w:cs="Times New Roman" w:eastAsia="Times New Roman" w:hAnsi="Times New Roman"/>
          <w:sz w:val="18"/>
          <w:szCs w:val="18"/>
          <w:color w:val="auto"/>
        </w:rPr>
        <w:t>US$1.20 per ADS), in U.S. dollars, representing approximately US$0.6 billion, on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2026, out of the Company’s retained earnings reserve; and (iv) that the loss of the year 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 be absorbed by the Company’s retained earnings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380" w:hanging="372"/>
        <w:spacing w:after="0"/>
        <w:tabs>
          <w:tab w:leader="none" w:pos="380" w:val="left"/>
        </w:tabs>
        <w:numPr>
          <w:ilvl w:val="0"/>
          <w:numId w:val="5"/>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drawing>
          <wp:anchor simplePos="0" relativeHeight="251657728" behindDoc="1" locked="0" layoutInCell="0" allowOverlap="1">
            <wp:simplePos x="0" y="0"/>
            <wp:positionH relativeFrom="page">
              <wp:posOffset>208280</wp:posOffset>
            </wp:positionH>
            <wp:positionV relativeFrom="page">
              <wp:posOffset>157480</wp:posOffset>
            </wp:positionV>
            <wp:extent cx="24003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Discharge of the members of the Board of Directors for the exercise of their mandate throughout the year ended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2025.</w:t>
      </w:r>
    </w:p>
    <w:p>
      <w:pPr>
        <w:spacing w:after="0" w:line="78"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Meeting resolved to discharge all those who were members of the Board of Directors throughout the year 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 from any liability in connection with the management of the Company’s affairs during such year.</w:t>
      </w:r>
    </w:p>
    <w:p>
      <w:pPr>
        <w:spacing w:after="0" w:line="194"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7F7F7F"/>
        </w:rPr>
      </w:pPr>
      <w:r>
        <w:rPr>
          <w:rFonts w:ascii="Times New Roman" w:cs="Times New Roman" w:eastAsia="Times New Roman" w:hAnsi="Times New Roman"/>
          <w:sz w:val="18"/>
          <w:szCs w:val="18"/>
          <w:b w:val="1"/>
          <w:bCs w:val="1"/>
          <w:color w:val="7F7F7F"/>
        </w:rPr>
        <w:t>Election of the members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resolved to (i) reduce the number of members of the Board of Directors to ten and (ii) re-appoint Mr. Simon Ayat, Mr. Roberto Bonatti,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Germán Curá, Ms. Molly Montgomery, Ms. Maria Novales-Flamarique, Mr. Gianfelice Mario Rocca, Mr. Paolo Rocca, Mr. Jaime Serra Puche, 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Monica Tiuba and Mr. Guillermo Vogel to the Board of Directors.</w:t>
      </w:r>
    </w:p>
    <w:p>
      <w:pPr>
        <w:spacing w:after="0" w:line="19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t>Approval of the compensation payable to the members of the Board of Directors for the year ending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2026.</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Meeting resolved to approve that, as compensation for his/her services during the fiscal year 2026, (i) each of the members of the Board of Directors receive an amount of US$115,000; (ii) each of the members of the Board of Directors who are members of the Audit Committee receive an additional fee of US$55,000; and (iii) the chairperson of the Audit Committee receive, further, an additional fee of US$20,000.</w:t>
      </w:r>
    </w:p>
    <w:p>
      <w:pPr>
        <w:spacing w:after="0" w:line="16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t>Approval of the Company’s compensation report for the year ended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2025.</w:t>
      </w:r>
    </w:p>
    <w:p>
      <w:pPr>
        <w:spacing w:after="0" w:line="7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auto"/>
        </w:rPr>
        <w:t>The Meeting resolved to approve the 2025 Compensation Report of the Company, which sets forth the compensation paid or payable to the members of the Board of Directors and to the Company’s chief executive officer, for the performance of their duties during the year ended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2025.</w:t>
      </w:r>
    </w:p>
    <w:p>
      <w:pPr>
        <w:spacing w:after="0" w:line="1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6"/>
          <w:szCs w:val="36"/>
          <w:b w:val="1"/>
          <w:bCs w:val="1"/>
          <w:color w:val="7F7F7F"/>
          <w:vertAlign w:val="superscript"/>
        </w:rPr>
      </w:pPr>
      <w:r>
        <w:rPr>
          <w:rFonts w:ascii="Times New Roman" w:cs="Times New Roman" w:eastAsia="Times New Roman" w:hAnsi="Times New Roman"/>
          <w:sz w:val="18"/>
          <w:szCs w:val="18"/>
          <w:b w:val="1"/>
          <w:bCs w:val="1"/>
          <w:color w:val="7F7F7F"/>
        </w:rPr>
        <w:t>Appointment of the Company’s statutory auditors for the fiscal year ending 31</w:t>
      </w:r>
      <w:r>
        <w:rPr>
          <w:rFonts w:ascii="Times New Roman" w:cs="Times New Roman" w:eastAsia="Times New Roman" w:hAnsi="Times New Roman"/>
          <w:sz w:val="29"/>
          <w:szCs w:val="29"/>
          <w:b w:val="1"/>
          <w:bCs w:val="1"/>
          <w:color w:val="7F7F7F"/>
          <w:vertAlign w:val="superscript"/>
        </w:rPr>
        <w:t>st</w:t>
      </w:r>
      <w:r>
        <w:rPr>
          <w:rFonts w:ascii="Times New Roman" w:cs="Times New Roman" w:eastAsia="Times New Roman" w:hAnsi="Times New Roman"/>
          <w:sz w:val="18"/>
          <w:szCs w:val="18"/>
          <w:b w:val="1"/>
          <w:bCs w:val="1"/>
          <w:color w:val="7F7F7F"/>
        </w:rPr>
        <w:t xml:space="preserve"> December 2026, and approval of their fees.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Meeting resolved to (i) appoint </w:t>
      </w:r>
      <w:r>
        <w:rPr>
          <w:rFonts w:ascii="Times New Roman" w:cs="Times New Roman" w:eastAsia="Times New Roman" w:hAnsi="Times New Roman"/>
          <w:sz w:val="18"/>
          <w:szCs w:val="18"/>
          <w:i w:val="1"/>
          <w:iCs w:val="1"/>
          <w:color w:val="auto"/>
        </w:rPr>
        <w:t>Forvis Mazars, Cabinet de révision agré</w:t>
      </w:r>
      <w:r>
        <w:rPr>
          <w:rFonts w:ascii="Times New Roman" w:cs="Times New Roman" w:eastAsia="Times New Roman" w:hAnsi="Times New Roman"/>
          <w:sz w:val="18"/>
          <w:szCs w:val="18"/>
          <w:color w:val="auto"/>
        </w:rPr>
        <w:t>é, as the Company’s statutory auditor for the fiscal year ending 31st December 2026, to be engaged until the next annual general meeting of shareholders that will be convened to decide on the Company’s 2026 annual accounts; (ii)</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approve the statutory auditors’ fees for audit and audit-related services to be rendered during the fiscal year ending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2026, broken down into five reference currencies (Brazilian Reais, Canadian Dollars, Euro, Mexican Pesos and U.S. Dollars) up to a maximum amount for each currency equal to BRL 74,471, CAD 31,000, EUR 1,081,106, MXN 2,246,400 and USD 345,865, and (iii) authorize the Audit Committee to approve any increase or reallocation of the statutory auditors’ fees as may be necessary, appropriate or desirable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 w:name="page5"/>
    <w:bookmarkEnd w:id="4"/>
    <w:p>
      <w:pPr>
        <w:ind w:left="340" w:hanging="332"/>
        <w:spacing w:after="0" w:line="295" w:lineRule="auto"/>
        <w:tabs>
          <w:tab w:leader="none" w:pos="340" w:val="left"/>
        </w:tabs>
        <w:numPr>
          <w:ilvl w:val="0"/>
          <w:numId w:val="10"/>
        </w:numPr>
        <w:rPr>
          <w:rFonts w:ascii="Times New Roman" w:cs="Times New Roman" w:eastAsia="Times New Roman" w:hAnsi="Times New Roman"/>
          <w:sz w:val="18"/>
          <w:szCs w:val="18"/>
          <w:b w:val="1"/>
          <w:bCs w:val="1"/>
          <w:color w:val="7F7F7F"/>
        </w:rPr>
      </w:pPr>
      <w:r>
        <w:rPr>
          <w:rFonts w:ascii="Times New Roman" w:cs="Times New Roman" w:eastAsia="Times New Roman" w:hAnsi="Times New Roman"/>
          <w:sz w:val="18"/>
          <w:szCs w:val="18"/>
          <w:b w:val="1"/>
          <w:bCs w:val="1"/>
          <w:color w:val="7F7F7F"/>
        </w:rPr>
        <w:drawing>
          <wp:anchor simplePos="0" relativeHeight="251657728" behindDoc="1" locked="0" layoutInCell="0" allowOverlap="1">
            <wp:simplePos x="0" y="0"/>
            <wp:positionH relativeFrom="page">
              <wp:posOffset>208280</wp:posOffset>
            </wp:positionH>
            <wp:positionV relativeFrom="page">
              <wp:posOffset>157480</wp:posOffset>
            </wp:positionV>
            <wp:extent cx="24003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Authorization to the Company, or any subsidiary, to purchase, acquire or receive securities of the Company, in accordance with Article 430-15 of the Luxembourg law of 10</w:t>
      </w:r>
      <w:r>
        <w:rPr>
          <w:rFonts w:ascii="Times New Roman" w:cs="Times New Roman" w:eastAsia="Times New Roman" w:hAnsi="Times New Roman"/>
          <w:sz w:val="29"/>
          <w:szCs w:val="29"/>
          <w:b w:val="1"/>
          <w:bCs w:val="1"/>
          <w:color w:val="7F7F7F"/>
          <w:vertAlign w:val="superscript"/>
        </w:rPr>
        <w:t>th</w:t>
      </w:r>
      <w:r>
        <w:rPr>
          <w:rFonts w:ascii="Times New Roman" w:cs="Times New Roman" w:eastAsia="Times New Roman" w:hAnsi="Times New Roman"/>
          <w:sz w:val="18"/>
          <w:szCs w:val="18"/>
          <w:b w:val="1"/>
          <w:bCs w:val="1"/>
          <w:color w:val="7F7F7F"/>
        </w:rPr>
        <w:t xml:space="preserve"> August 1915 and with applicable laws and regulations.</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Meeting resolved to (i) renew the authorization to the Company and to the Company’s subsidiaries to purchase, acquire or receive shares, including shares represented by ADRs (“Securities”), on the terms and conditions set forth in the minutes of this Meeting; (ii) grant all powers to the Board of Directors and to the board of directors or other governing bodies of the Company’s subsidiaries, in each case with powers to delegate in accordance with applicable laws, the Company’s articles of association or the articles of association or other applicable organizational documents of the relevant Company’s subsidiary, to decide on and implement this authorization, to define, if necessary, the terms and procedures for carrying out any purchase, acquisition or reception of Securities, and, in particular, to place any stock exchange orders, conclude any agreements, including for keeping registers of purchases and sales of Securities, make any declarations to the applicable regulatory authorities, carry out all formalities and, generally, do all such other acts and things as may be necessary, appropriate or desirable for the purposes aforesaid; and (iii) authorize the Board of Directors to delegate to its chairman, with the latter having the option to sub-delegate to any other person(s), the performance of the actions entrusted to the Board of Directors, pursuant to, or in connection with, this authorization.</w:t>
      </w:r>
    </w:p>
    <w:p>
      <w:pPr>
        <w:spacing w:after="0" w:line="190" w:lineRule="exact"/>
        <w:rPr>
          <w:sz w:val="20"/>
          <w:szCs w:val="20"/>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b w:val="1"/>
          <w:bCs w:val="1"/>
          <w:color w:val="7F7F7F"/>
        </w:rPr>
      </w:pPr>
      <w:r>
        <w:rPr>
          <w:rFonts w:ascii="Times New Roman" w:cs="Times New Roman" w:eastAsia="Times New Roman" w:hAnsi="Times New Roman"/>
          <w:sz w:val="18"/>
          <w:szCs w:val="18"/>
          <w:b w:val="1"/>
          <w:bCs w:val="1"/>
          <w:color w:val="7F7F7F"/>
        </w:rPr>
        <w:t>Authorization to the Board of Directors to cause the distribution of all shareholder communications, including its shareholder meeting and proxy materials and annual reports to shareholders, by such electronic means as is permitted by any applicable laws or regulations.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resolved to authorize the Board of Directors to cause the distribution of all shareholder communications, including its shareholder meeting and proxy materials and annual reports to shareholders (either in the form of a separate annual report containing financial statements of the Company and its consolidated subsidiaries or in the form of an annual report on Form 20-F or similar document, as filed with the securities authorities or stock markets) by such electronic means as are permitted or required by any applicable laws or regulations (including any interpretations thereof), including, without limitation, by posting such communication on the Company’s website, or by sending electronic communications (e-mails) with attachment(s) in a widely used format or with a hyperlink to the applicable filing by the Company on the website of the above referred authorities or stock markets, or by any other existing or future electronic means of communication as is or may be permitted by any applicable laws or regulations.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2026-05-13T08:51:54Z</dcterms:created>
  <dcterms:modified xsi:type="dcterms:W3CDTF">2026-05-13T08:51:54Z</dcterms:modified>
</cp:coreProperties>
</file>