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40"/>
        <w:spacing w:after="0"/>
        <w:rPr>
          <w:sz w:val="20"/>
          <w:szCs w:val="20"/>
          <w:color w:val="auto"/>
        </w:rPr>
      </w:pPr>
      <w:r>
        <w:rPr>
          <w:rFonts w:ascii="Times New Roman" w:cs="Times New Roman" w:eastAsia="Times New Roman" w:hAnsi="Times New Roman"/>
          <w:sz w:val="18"/>
          <w:szCs w:val="18"/>
          <w:b w:val="1"/>
          <w:bCs w:val="1"/>
          <w:color w:val="auto"/>
        </w:rPr>
        <w:t>FORM 6 - K</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 - 16 or 15d - 16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0" w:lineRule="exact"/>
        <w:rPr>
          <w:sz w:val="24"/>
          <w:szCs w:val="24"/>
          <w:color w:val="auto"/>
        </w:rPr>
      </w:pP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May 6,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TENARIS, S.A.</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26, Boulevard Royal, 4th floor</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L-2449 Luxembourg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40-F.</w:t>
      </w:r>
    </w:p>
    <w:p>
      <w:pPr>
        <w:spacing w:after="0" w:line="184" w:lineRule="exact"/>
        <w:rPr>
          <w:sz w:val="24"/>
          <w:szCs w:val="24"/>
          <w:color w:val="auto"/>
        </w:rPr>
      </w:pPr>
    </w:p>
    <w:p>
      <w:pPr>
        <w:ind w:left="4420"/>
        <w:spacing w:after="0" w:line="207" w:lineRule="exact"/>
        <w:tabs>
          <w:tab w:leader="none" w:pos="56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Form 40-F 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17780</wp:posOffset>
            </wp:positionV>
            <wp:extent cx="2082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8280" cy="8255"/>
                    </a:xfrm>
                    <a:prstGeom prst="rect">
                      <a:avLst/>
                    </a:prstGeom>
                    <a:noFill/>
                  </pic:spPr>
                </pic:pic>
              </a:graphicData>
            </a:graphic>
          </wp:anchor>
        </w:drawing>
      </w:r>
    </w:p>
    <w:p>
      <w:pPr>
        <w:sectPr>
          <w:pgSz w:w="11900" w:h="16838" w:orient="portrait"/>
          <w:cols w:equalWidth="0" w:num="1">
            <w:col w:w="10139"/>
          </w:cols>
          <w:pgMar w:left="320" w:top="441" w:right="1440" w:bottom="1440"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The attached material is being furnished to the Securities and Exchange Commission pursuant to Rule 13a-16 and Form 6-K under the Securities Exchange Act of 1934, as amended. This report contains Tenaris’s Press Release announcing 2026 First Quarter Results.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2026</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Tenaris, S.A.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Giovanni Sardagna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2" w:name="page3"/>
    <w:bookmarkEnd w:id="2"/>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2005965"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005965" cy="565785"/>
                    </a:xfrm>
                    <a:prstGeom prst="rect">
                      <a:avLst/>
                    </a:prstGeom>
                    <a:noFill/>
                  </pic:spPr>
                </pic:pic>
              </a:graphicData>
            </a:graphic>
          </wp:anchor>
        </w:drawing>
        <w:drawing>
          <wp:anchor simplePos="0" relativeHeight="251657728" behindDoc="1" locked="0" layoutInCell="0" allowOverlap="1">
            <wp:simplePos x="0" y="0"/>
            <wp:positionH relativeFrom="page">
              <wp:posOffset>5626100</wp:posOffset>
            </wp:positionH>
            <wp:positionV relativeFrom="page">
              <wp:posOffset>448945</wp:posOffset>
            </wp:positionV>
            <wp:extent cx="1714500" cy="488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4500" cy="488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C0C0C0"/>
        </w:rPr>
        <w:t>Giovanni Sardagna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Tenaris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1-888-300-5432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C0C0C0"/>
        </w:rPr>
        <w:t>www.tenaris.com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9900"/>
        </w:rPr>
        <w:t>Tenaris Announces 2026 First Quarter Results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financial and operational information contained in this press release is based on unaudited consolidated condensed interim financial statements presented in U.S. dollars and prepared in accordance with International Financial Reporting Standards as issued by the International Accounting Standard Board and adopted by the European Union, or IFRS. Additionally, this press release includes non-IFRS alternative performance measures i.e., EBITDA, Free Cash Flow, Net cash / debt and Operating working capital days. See exhibit I for more details on these alternative performance measures.</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Luxembourg, May 6, 2026. - </w:t>
      </w:r>
      <w:r>
        <w:rPr>
          <w:rFonts w:ascii="Times New Roman" w:cs="Times New Roman" w:eastAsia="Times New Roman" w:hAnsi="Times New Roman"/>
          <w:sz w:val="18"/>
          <w:szCs w:val="18"/>
          <w:color w:val="auto"/>
        </w:rPr>
        <w:t>Tenaris S.A. (NYSE and Mexico: TS and EXM Italy: TEN) (“Tenaris”) today announced its results for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in comparison with its results for the quarter ended March 31,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900"/>
        </w:rPr>
        <w:t>Summary of 2026 First Quarter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(Comparison with the fourth and first quarter of 2025)</w:t>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 ($ million)</w:t>
            </w:r>
          </w:p>
        </w:tc>
        <w:tc>
          <w:tcPr>
            <w:tcW w:w="100" w:type="dxa"/>
            <w:vAlign w:val="bottom"/>
            <w:tcBorders>
              <w:top w:val="single" w:sz="8" w:color="auto"/>
              <w:bottom w:val="single" w:sz="8" w:color="auto"/>
            </w:tcBorders>
            <w:shd w:val="clear" w:color="auto" w:fill="F2F2F2"/>
          </w:tcPr>
          <w:p>
            <w:pPr>
              <w:spacing w:after="0"/>
              <w:rPr>
                <w:sz w:val="19"/>
                <w:szCs w:val="19"/>
                <w:color w:val="auto"/>
              </w:rPr>
            </w:pPr>
          </w:p>
        </w:tc>
        <w:tc>
          <w:tcPr>
            <w:tcW w:w="1280" w:type="dxa"/>
            <w:vAlign w:val="bottom"/>
            <w:tcBorders>
              <w:top w:val="single" w:sz="8" w:color="auto"/>
              <w:bottom w:val="single" w:sz="8" w:color="auto"/>
            </w:tcBorders>
            <w:shd w:val="clear" w:color="auto" w:fill="F2F2F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22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4Q 2025</w:t>
            </w:r>
          </w:p>
        </w:tc>
        <w:tc>
          <w:tcPr>
            <w:tcW w:w="118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1Q 2025</w:t>
            </w:r>
          </w:p>
        </w:tc>
        <w:tc>
          <w:tcPr>
            <w:tcW w:w="7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vMerge w:val="continue"/>
          </w:tcPr>
          <w:p>
            <w:pPr>
              <w:spacing w:after="0"/>
              <w:rPr>
                <w:sz w:val="18"/>
                <w:szCs w:val="18"/>
                <w:color w:val="auto"/>
              </w:rPr>
            </w:pPr>
          </w:p>
        </w:tc>
        <w:tc>
          <w:tcPr>
            <w:tcW w:w="100" w:type="dxa"/>
            <w:vAlign w:val="bottom"/>
            <w:shd w:val="clear" w:color="auto" w:fill="F2F2F2"/>
          </w:tcPr>
          <w:p>
            <w:pPr>
              <w:spacing w:after="0"/>
              <w:rPr>
                <w:sz w:val="18"/>
                <w:szCs w:val="18"/>
                <w:color w:val="auto"/>
              </w:rPr>
            </w:pPr>
          </w:p>
        </w:tc>
        <w:tc>
          <w:tcPr>
            <w:tcW w:w="1280" w:type="dxa"/>
            <w:vAlign w:val="bottom"/>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3,100</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2,995</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2,922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 million)</w:t>
            </w:r>
          </w:p>
        </w:tc>
        <w:tc>
          <w:tcPr>
            <w:tcW w:w="100" w:type="dxa"/>
            <w:vAlign w:val="bottom"/>
            <w:shd w:val="clear" w:color="auto" w:fill="F2F2F2"/>
          </w:tcPr>
          <w:p>
            <w:pPr>
              <w:spacing w:after="0"/>
              <w:rPr>
                <w:sz w:val="18"/>
                <w:szCs w:val="18"/>
                <w:color w:val="auto"/>
              </w:rPr>
            </w:pPr>
          </w:p>
        </w:tc>
        <w:tc>
          <w:tcPr>
            <w:tcW w:w="1280" w:type="dxa"/>
            <w:vAlign w:val="bottom"/>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584</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554</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18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550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3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income ($ million)</w:t>
            </w:r>
          </w:p>
        </w:tc>
        <w:tc>
          <w:tcPr>
            <w:tcW w:w="100" w:type="dxa"/>
            <w:vAlign w:val="bottom"/>
            <w:shd w:val="clear" w:color="auto" w:fill="F2F2F2"/>
          </w:tcPr>
          <w:p>
            <w:pPr>
              <w:spacing w:after="0"/>
              <w:rPr>
                <w:sz w:val="17"/>
                <w:szCs w:val="17"/>
                <w:color w:val="auto"/>
              </w:rPr>
            </w:pPr>
          </w:p>
        </w:tc>
        <w:tc>
          <w:tcPr>
            <w:tcW w:w="128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564</w:t>
            </w:r>
          </w:p>
        </w:tc>
        <w:tc>
          <w:tcPr>
            <w:tcW w:w="2220" w:type="dxa"/>
            <w:vAlign w:val="bottom"/>
          </w:tcPr>
          <w:p>
            <w:pPr>
              <w:jc w:val="right"/>
              <w:ind w:right="810"/>
              <w:spacing w:after="0" w:line="198" w:lineRule="exact"/>
              <w:rPr>
                <w:sz w:val="20"/>
                <w:szCs w:val="20"/>
                <w:color w:val="auto"/>
              </w:rPr>
            </w:pPr>
            <w:r>
              <w:rPr>
                <w:rFonts w:ascii="Times New Roman" w:cs="Times New Roman" w:eastAsia="Times New Roman" w:hAnsi="Times New Roman"/>
                <w:sz w:val="18"/>
                <w:szCs w:val="18"/>
                <w:color w:val="auto"/>
              </w:rPr>
              <w:t>461</w:t>
            </w:r>
          </w:p>
        </w:tc>
        <w:tc>
          <w:tcPr>
            <w:tcW w:w="1180" w:type="dxa"/>
            <w:vAlign w:val="bottom"/>
          </w:tcPr>
          <w:p>
            <w:pPr>
              <w:jc w:val="right"/>
              <w:ind w:right="370"/>
              <w:spacing w:after="0" w:line="198" w:lineRule="exact"/>
              <w:rPr>
                <w:sz w:val="20"/>
                <w:szCs w:val="20"/>
                <w:color w:val="auto"/>
              </w:rPr>
            </w:pPr>
            <w:r>
              <w:rPr>
                <w:rFonts w:ascii="Times New Roman" w:cs="Times New Roman" w:eastAsia="Times New Roman" w:hAnsi="Times New Roman"/>
                <w:sz w:val="18"/>
                <w:szCs w:val="18"/>
                <w:color w:val="auto"/>
              </w:rPr>
              <w:t>22%</w:t>
            </w:r>
          </w:p>
        </w:tc>
        <w:tc>
          <w:tcPr>
            <w:tcW w:w="1800" w:type="dxa"/>
            <w:vAlign w:val="bottom"/>
          </w:tcPr>
          <w:p>
            <w:pPr>
              <w:jc w:val="right"/>
              <w:ind w:right="830"/>
              <w:spacing w:after="0" w:line="198" w:lineRule="exact"/>
              <w:rPr>
                <w:sz w:val="20"/>
                <w:szCs w:val="20"/>
                <w:color w:val="auto"/>
              </w:rPr>
            </w:pPr>
            <w:r>
              <w:rPr>
                <w:rFonts w:ascii="Times New Roman" w:cs="Times New Roman" w:eastAsia="Times New Roman" w:hAnsi="Times New Roman"/>
                <w:sz w:val="18"/>
                <w:szCs w:val="18"/>
                <w:color w:val="auto"/>
              </w:rPr>
              <w:t>518</w:t>
            </w:r>
          </w:p>
        </w:tc>
        <w:tc>
          <w:tcPr>
            <w:tcW w:w="7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net income ($ million)</w:t>
            </w:r>
          </w:p>
        </w:tc>
        <w:tc>
          <w:tcPr>
            <w:tcW w:w="100" w:type="dxa"/>
            <w:vAlign w:val="bottom"/>
            <w:shd w:val="clear" w:color="auto" w:fill="F2F2F2"/>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541</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449</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w:t>
            </w:r>
          </w:p>
        </w:tc>
        <w:tc>
          <w:tcPr>
            <w:tcW w:w="18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507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ADS ($)</w:t>
            </w:r>
          </w:p>
        </w:tc>
        <w:tc>
          <w:tcPr>
            <w:tcW w:w="100" w:type="dxa"/>
            <w:vAlign w:val="bottom"/>
            <w:shd w:val="clear" w:color="auto" w:fill="F2F2F2"/>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1.07</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0.87</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w:t>
            </w:r>
          </w:p>
        </w:tc>
        <w:tc>
          <w:tcPr>
            <w:tcW w:w="18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0.94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w:t>
            </w:r>
          </w:p>
        </w:tc>
        <w:tc>
          <w:tcPr>
            <w:tcW w:w="100" w:type="dxa"/>
            <w:vAlign w:val="bottom"/>
            <w:shd w:val="clear" w:color="auto" w:fill="F2F2F2"/>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0.54</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0.44</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23%</w:t>
            </w:r>
          </w:p>
        </w:tc>
        <w:tc>
          <w:tcPr>
            <w:tcW w:w="18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0.47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EBITDA ($ million)</w:t>
            </w:r>
          </w:p>
        </w:tc>
        <w:tc>
          <w:tcPr>
            <w:tcW w:w="100" w:type="dxa"/>
            <w:vAlign w:val="bottom"/>
            <w:shd w:val="clear" w:color="auto" w:fill="F2F2F2"/>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735</w:t>
            </w:r>
          </w:p>
        </w:tc>
        <w:tc>
          <w:tcPr>
            <w:tcW w:w="2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717</w:t>
            </w: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8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696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EBITDA margin (% of net sales)</w:t>
            </w:r>
          </w:p>
        </w:tc>
        <w:tc>
          <w:tcPr>
            <w:tcW w:w="100" w:type="dxa"/>
            <w:vAlign w:val="bottom"/>
            <w:shd w:val="clear" w:color="auto" w:fill="F2F2F2"/>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23.9%</w:t>
            </w:r>
          </w:p>
        </w:tc>
        <w:tc>
          <w:tcPr>
            <w:tcW w:w="1180" w:type="dxa"/>
            <w:vAlign w:val="bottom"/>
          </w:tcPr>
          <w:p>
            <w:pPr>
              <w:spacing w:after="0"/>
              <w:rPr>
                <w:sz w:val="20"/>
                <w:szCs w:val="20"/>
                <w:color w:val="auto"/>
              </w:rPr>
            </w:pPr>
          </w:p>
        </w:tc>
        <w:tc>
          <w:tcPr>
            <w:tcW w:w="18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23.8%</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-959485</wp:posOffset>
            </wp:positionV>
            <wp:extent cx="805815" cy="9601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05815" cy="960120"/>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Tenaris began the year strongly with sales rising by 4% sequentially despite the disruption in the Middle East since March caused by the Iran war and the closure of the Strait of Hormuz. Sales benefitted from seasonally higher activity in Canada, a limited recovery of activity in Mexico, higher offshore sales in Brazil, customer stock-building in North Africa and an advance of shipments in Saudi Arabia. Margins remained stable as higher costs from maintenance shutdowns were offset by lower tariff costs. Operating income and EBITDA rose in line with sales, while net income benefitted from improved results below the operating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t>During the quarter, our free cash flow amounted to $503 million and, after spending $90 million on share buybacks, our net cash position amounted to $3.8 billion at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900"/>
        </w:rPr>
        <w:t>Market Background and Outlook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conflict in the Middle East and the prolonged closure of the strait of Hormuz has changed the outlook for the energy industry. Oil and LNG prices have risen and are likely to remain high for many months as available inventories are drawn down and demand and supply rebalancing takes place.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Oil and gas drilling activity in the Middle East, once the strait is reopened, will initially prioritize restoring production to previous levels and releasing any available spare production capacity. Activity in the rest of the world should benefit from increased investment in short cycle shale plays and the sanctioning of offshore projects. Over the longer term, there will be increased focus on security and diversification of supply.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OCTG prices have started to respond to import tariffs and increases in raw material costs, in an environment where demand is expected to increase.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second quarter, our sales will be affected by lower shipments in the Middle East. Our margins will be impacted by higher logistics costs in addition to lower absorption of fixed costs. For the second half of 2026, we expect our sales and margins to recover, assuming the strait of Hormuz is reopened in the short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1443355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009900"/>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t>Analysis of 2026 First Quarter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Tubes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for our Tubes business segment, sales volumes of seamless and welded pipes for the periods indicated below:</w:t>
      </w:r>
    </w:p>
    <w:p>
      <w:pPr>
        <w:spacing w:after="0" w:line="22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Tubes Sales volume (thousand metric tons)</w:t>
            </w:r>
          </w:p>
        </w:tc>
        <w:tc>
          <w:tcPr>
            <w:tcW w:w="1320" w:type="dxa"/>
            <w:vAlign w:val="bottom"/>
            <w:tcBorders>
              <w:top w:val="single" w:sz="8" w:color="auto"/>
              <w:bottom w:val="single" w:sz="8" w:color="auto"/>
            </w:tcBorders>
            <w:shd w:val="clear" w:color="auto" w:fill="F2F2F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22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4Q 2025</w:t>
            </w:r>
          </w:p>
        </w:tc>
        <w:tc>
          <w:tcPr>
            <w:tcW w:w="12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1Q 2025</w:t>
            </w:r>
          </w:p>
        </w:tc>
        <w:tc>
          <w:tcPr>
            <w:tcW w:w="700" w:type="dxa"/>
            <w:vAlign w:val="bottom"/>
            <w:tcBorders>
              <w:top w:val="single" w:sz="8" w:color="auto"/>
              <w:bottom w:val="single" w:sz="8" w:color="auto"/>
            </w:tcBorders>
          </w:tcPr>
          <w:p>
            <w:pPr>
              <w:spacing w:after="0"/>
              <w:rPr>
                <w:sz w:val="19"/>
                <w:szCs w:val="19"/>
                <w:color w:val="auto"/>
              </w:rPr>
            </w:pPr>
          </w:p>
        </w:tc>
      </w:tr>
      <w:tr>
        <w:trPr>
          <w:trHeight w:val="20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Seamless</w:t>
            </w:r>
          </w:p>
        </w:tc>
        <w:tc>
          <w:tcPr>
            <w:tcW w:w="1320" w:type="dxa"/>
            <w:vAlign w:val="bottom"/>
            <w:shd w:val="clear" w:color="auto" w:fill="F2F2F2"/>
          </w:tcPr>
          <w:p>
            <w:pPr>
              <w:jc w:val="right"/>
              <w:ind w:right="30"/>
              <w:spacing w:after="0"/>
              <w:rPr>
                <w:sz w:val="20"/>
                <w:szCs w:val="20"/>
                <w:color w:val="auto"/>
              </w:rPr>
            </w:pPr>
            <w:r>
              <w:rPr>
                <w:rFonts w:ascii="Times New Roman" w:cs="Times New Roman" w:eastAsia="Times New Roman" w:hAnsi="Times New Roman"/>
                <w:sz w:val="18"/>
                <w:szCs w:val="18"/>
                <w:color w:val="auto"/>
              </w:rPr>
              <w:t>784</w:t>
            </w:r>
          </w:p>
        </w:tc>
        <w:tc>
          <w:tcPr>
            <w:tcW w:w="2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776</w:t>
            </w: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w:t>
            </w: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775</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Welded</w:t>
            </w:r>
          </w:p>
        </w:tc>
        <w:tc>
          <w:tcPr>
            <w:tcW w:w="1320" w:type="dxa"/>
            <w:vAlign w:val="bottom"/>
            <w:shd w:val="clear" w:color="auto" w:fill="F2F2F2"/>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c>
          <w:tcPr>
            <w:tcW w:w="22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193</w:t>
            </w: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212</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20" w:type="dxa"/>
            <w:vAlign w:val="bottom"/>
            <w:shd w:val="clear" w:color="auto" w:fill="F2F2F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995</w:t>
            </w:r>
          </w:p>
        </w:tc>
        <w:tc>
          <w:tcPr>
            <w:tcW w:w="22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969</w:t>
            </w:r>
          </w:p>
        </w:tc>
        <w:tc>
          <w:tcPr>
            <w:tcW w:w="12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3%</w:t>
            </w:r>
          </w:p>
        </w:tc>
        <w:tc>
          <w:tcPr>
            <w:tcW w:w="1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987</w:t>
            </w:r>
          </w:p>
        </w:tc>
        <w:tc>
          <w:tcPr>
            <w:tcW w:w="70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w w:val="96"/>
              </w:rPr>
              <w:t>1%</w:t>
            </w:r>
          </w:p>
        </w:tc>
      </w:tr>
    </w:tbl>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indicates, for our Tubes business segment, net sales by geographic region, operating income and operating income as a percentage of net sales for the periods indicated below:</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Tubes</w:t>
            </w:r>
          </w:p>
        </w:tc>
        <w:tc>
          <w:tcPr>
            <w:tcW w:w="120" w:type="dxa"/>
            <w:vAlign w:val="bottom"/>
            <w:tcBorders>
              <w:top w:val="single" w:sz="8" w:color="auto"/>
              <w:bottom w:val="single" w:sz="8" w:color="auto"/>
            </w:tcBorders>
            <w:shd w:val="clear" w:color="auto" w:fill="F2F2F2"/>
          </w:tcPr>
          <w:p>
            <w:pPr>
              <w:spacing w:after="0"/>
              <w:rPr>
                <w:sz w:val="19"/>
                <w:szCs w:val="19"/>
                <w:color w:val="auto"/>
              </w:rPr>
            </w:pPr>
          </w:p>
        </w:tc>
        <w:tc>
          <w:tcPr>
            <w:tcW w:w="1260" w:type="dxa"/>
            <w:vAlign w:val="bottom"/>
            <w:tcBorders>
              <w:top w:val="single" w:sz="8" w:color="auto"/>
              <w:bottom w:val="single" w:sz="8" w:color="auto"/>
            </w:tcBorders>
            <w:shd w:val="clear" w:color="auto" w:fill="F2F2F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22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4Q 2025</w:t>
            </w:r>
          </w:p>
        </w:tc>
        <w:tc>
          <w:tcPr>
            <w:tcW w:w="12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1Q 2025</w:t>
            </w:r>
          </w:p>
        </w:tc>
        <w:tc>
          <w:tcPr>
            <w:tcW w:w="7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 $ million)</w:t>
            </w:r>
          </w:p>
        </w:tc>
        <w:tc>
          <w:tcPr>
            <w:tcW w:w="120" w:type="dxa"/>
            <w:vAlign w:val="bottom"/>
            <w:shd w:val="clear" w:color="auto" w:fill="F2F2F2"/>
          </w:tcPr>
          <w:p>
            <w:pPr>
              <w:spacing w:after="0"/>
              <w:rPr>
                <w:sz w:val="18"/>
                <w:szCs w:val="18"/>
                <w:color w:val="auto"/>
              </w:rPr>
            </w:pPr>
          </w:p>
        </w:tc>
        <w:tc>
          <w:tcPr>
            <w:tcW w:w="1260" w:type="dxa"/>
            <w:vAlign w:val="bottom"/>
            <w:shd w:val="clear" w:color="auto" w:fill="F2F2F2"/>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North America</w:t>
            </w:r>
          </w:p>
        </w:tc>
        <w:tc>
          <w:tcPr>
            <w:tcW w:w="120" w:type="dxa"/>
            <w:vAlign w:val="bottom"/>
            <w:shd w:val="clear" w:color="auto" w:fill="F2F2F2"/>
          </w:tcPr>
          <w:p>
            <w:pPr>
              <w:spacing w:after="0"/>
              <w:rPr>
                <w:sz w:val="18"/>
                <w:szCs w:val="18"/>
                <w:color w:val="auto"/>
              </w:rPr>
            </w:pPr>
          </w:p>
        </w:tc>
        <w:tc>
          <w:tcPr>
            <w:tcW w:w="1260" w:type="dxa"/>
            <w:vAlign w:val="bottom"/>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1,474</w:t>
            </w: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1,455</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1,244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8"/>
        </w:trPr>
        <w:tc>
          <w:tcPr>
            <w:tcW w:w="3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South America</w:t>
            </w:r>
          </w:p>
        </w:tc>
        <w:tc>
          <w:tcPr>
            <w:tcW w:w="120" w:type="dxa"/>
            <w:vAlign w:val="bottom"/>
            <w:shd w:val="clear" w:color="auto" w:fill="F2F2F2"/>
          </w:tcPr>
          <w:p>
            <w:pPr>
              <w:spacing w:after="0"/>
              <w:rPr>
                <w:sz w:val="17"/>
                <w:szCs w:val="17"/>
                <w:color w:val="auto"/>
              </w:rPr>
            </w:pPr>
          </w:p>
        </w:tc>
        <w:tc>
          <w:tcPr>
            <w:tcW w:w="12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rPr>
              <w:t>531</w:t>
            </w:r>
          </w:p>
        </w:tc>
        <w:tc>
          <w:tcPr>
            <w:tcW w:w="2220" w:type="dxa"/>
            <w:vAlign w:val="bottom"/>
          </w:tcPr>
          <w:p>
            <w:pPr>
              <w:jc w:val="right"/>
              <w:ind w:right="830"/>
              <w:spacing w:after="0" w:line="198" w:lineRule="exact"/>
              <w:rPr>
                <w:sz w:val="20"/>
                <w:szCs w:val="20"/>
                <w:color w:val="auto"/>
              </w:rPr>
            </w:pPr>
            <w:r>
              <w:rPr>
                <w:rFonts w:ascii="Times New Roman" w:cs="Times New Roman" w:eastAsia="Times New Roman" w:hAnsi="Times New Roman"/>
                <w:sz w:val="18"/>
                <w:szCs w:val="18"/>
                <w:color w:val="auto"/>
              </w:rPr>
              <w:t>501</w:t>
            </w:r>
          </w:p>
        </w:tc>
        <w:tc>
          <w:tcPr>
            <w:tcW w:w="120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color w:val="auto"/>
              </w:rPr>
              <w:t>6%</w:t>
            </w:r>
          </w:p>
        </w:tc>
        <w:tc>
          <w:tcPr>
            <w:tcW w:w="1780" w:type="dxa"/>
            <w:vAlign w:val="bottom"/>
          </w:tcPr>
          <w:p>
            <w:pPr>
              <w:jc w:val="right"/>
              <w:ind w:right="830"/>
              <w:spacing w:after="0" w:line="198" w:lineRule="exact"/>
              <w:rPr>
                <w:sz w:val="20"/>
                <w:szCs w:val="20"/>
                <w:color w:val="auto"/>
              </w:rPr>
            </w:pPr>
            <w:r>
              <w:rPr>
                <w:rFonts w:ascii="Times New Roman" w:cs="Times New Roman" w:eastAsia="Times New Roman" w:hAnsi="Times New Roman"/>
                <w:sz w:val="18"/>
                <w:szCs w:val="18"/>
                <w:color w:val="auto"/>
              </w:rPr>
              <w:t>552</w:t>
            </w:r>
          </w:p>
        </w:tc>
        <w:tc>
          <w:tcPr>
            <w:tcW w:w="7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w:t>
            </w:r>
          </w:p>
        </w:tc>
        <w:tc>
          <w:tcPr>
            <w:tcW w:w="120" w:type="dxa"/>
            <w:vAlign w:val="bottom"/>
            <w:shd w:val="clear" w:color="auto" w:fill="F2F2F2"/>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214</w:t>
            </w: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187</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15%</w:t>
            </w: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208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2"/>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Asia Pacific, Middle East and Africa</w:t>
            </w:r>
          </w:p>
        </w:tc>
        <w:tc>
          <w:tcPr>
            <w:tcW w:w="120" w:type="dxa"/>
            <w:vAlign w:val="bottom"/>
            <w:shd w:val="clear" w:color="auto" w:fill="F2F2F2"/>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712</w:t>
            </w: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697</w:t>
            </w: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w:t>
            </w: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761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8"/>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 ($ million)</w:t>
            </w:r>
          </w:p>
        </w:tc>
        <w:tc>
          <w:tcPr>
            <w:tcW w:w="120" w:type="dxa"/>
            <w:vAlign w:val="bottom"/>
            <w:shd w:val="clear" w:color="auto" w:fill="F2F2F2"/>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2,931</w:t>
            </w: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2,839</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w:t>
            </w: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2,765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16"/>
        </w:trPr>
        <w:tc>
          <w:tcPr>
            <w:tcW w:w="3900" w:type="dxa"/>
            <w:vAlign w:val="bottom"/>
          </w:tcPr>
          <w:p>
            <w:pPr>
              <w:ind w:left="540"/>
              <w:spacing w:after="0"/>
              <w:rPr>
                <w:sz w:val="20"/>
                <w:szCs w:val="20"/>
                <w:color w:val="auto"/>
              </w:rPr>
            </w:pPr>
            <w:r>
              <w:rPr>
                <w:rFonts w:ascii="Times New Roman" w:cs="Times New Roman" w:eastAsia="Times New Roman" w:hAnsi="Times New Roman"/>
                <w:sz w:val="18"/>
                <w:szCs w:val="18"/>
                <w:i w:val="1"/>
                <w:iCs w:val="1"/>
                <w:color w:val="auto"/>
              </w:rPr>
              <w:t>Services performed on third party tubes ($</w:t>
            </w:r>
          </w:p>
        </w:tc>
        <w:tc>
          <w:tcPr>
            <w:tcW w:w="120" w:type="dxa"/>
            <w:vAlign w:val="bottom"/>
            <w:shd w:val="clear" w:color="auto" w:fill="F2F2F2"/>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w:t>
            </w:r>
          </w:p>
        </w:tc>
        <w:tc>
          <w:tcPr>
            <w:tcW w:w="17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14"/>
        </w:trPr>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million)</w:t>
            </w:r>
          </w:p>
        </w:tc>
        <w:tc>
          <w:tcPr>
            <w:tcW w:w="120" w:type="dxa"/>
            <w:vAlign w:val="bottom"/>
            <w:shd w:val="clear" w:color="auto" w:fill="F2F2F2"/>
          </w:tcPr>
          <w:p>
            <w:pPr>
              <w:spacing w:after="0"/>
              <w:rPr>
                <w:sz w:val="18"/>
                <w:szCs w:val="18"/>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i w:val="1"/>
                <w:iCs w:val="1"/>
                <w:color w:val="auto"/>
              </w:rPr>
              <w:t>109</w:t>
            </w: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i w:val="1"/>
                <w:iCs w:val="1"/>
                <w:color w:val="auto"/>
              </w:rPr>
              <w:t>107</w:t>
            </w:r>
          </w:p>
        </w:tc>
        <w:tc>
          <w:tcPr>
            <w:tcW w:w="1200" w:type="dxa"/>
            <w:vAlign w:val="bottom"/>
            <w:vMerge w:val="continue"/>
          </w:tcPr>
          <w:p>
            <w:pPr>
              <w:spacing w:after="0"/>
              <w:rPr>
                <w:sz w:val="18"/>
                <w:szCs w:val="18"/>
                <w:color w:val="auto"/>
              </w:rPr>
            </w:pP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i w:val="1"/>
                <w:iCs w:val="1"/>
                <w:color w:val="auto"/>
              </w:rPr>
              <w:t>101</w:t>
            </w: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Operating income ($ million)</w:t>
            </w:r>
          </w:p>
        </w:tc>
        <w:tc>
          <w:tcPr>
            <w:tcW w:w="120" w:type="dxa"/>
            <w:vAlign w:val="bottom"/>
            <w:shd w:val="clear" w:color="auto" w:fill="F2F2F2"/>
          </w:tcPr>
          <w:p>
            <w:pPr>
              <w:spacing w:after="0"/>
              <w:rPr>
                <w:sz w:val="19"/>
                <w:szCs w:val="19"/>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545</w:t>
            </w:r>
          </w:p>
        </w:tc>
        <w:tc>
          <w:tcPr>
            <w:tcW w:w="222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516</w:t>
            </w:r>
          </w:p>
        </w:tc>
        <w:tc>
          <w:tcPr>
            <w:tcW w:w="12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6%</w:t>
            </w:r>
          </w:p>
        </w:tc>
        <w:tc>
          <w:tcPr>
            <w:tcW w:w="17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514</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34"/>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margin (% of sales)</w:t>
            </w:r>
          </w:p>
        </w:tc>
        <w:tc>
          <w:tcPr>
            <w:tcW w:w="120" w:type="dxa"/>
            <w:vAlign w:val="bottom"/>
            <w:shd w:val="clear" w:color="auto" w:fill="F2F2F2"/>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2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18.2%</w:t>
            </w:r>
          </w:p>
        </w:tc>
        <w:tc>
          <w:tcPr>
            <w:tcW w:w="1200" w:type="dxa"/>
            <w:vAlign w:val="bottom"/>
          </w:tcPr>
          <w:p>
            <w:pPr>
              <w:spacing w:after="0"/>
              <w:rPr>
                <w:sz w:val="20"/>
                <w:szCs w:val="20"/>
                <w:color w:val="auto"/>
              </w:rPr>
            </w:pPr>
          </w:p>
        </w:tc>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18.6%</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-1233805</wp:posOffset>
            </wp:positionV>
            <wp:extent cx="796925" cy="1234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6925" cy="1234440"/>
                    </a:xfrm>
                    <a:prstGeom prst="rect">
                      <a:avLst/>
                    </a:prstGeom>
                    <a:noFill/>
                  </pic:spPr>
                </pic:pic>
              </a:graphicData>
            </a:graphic>
          </wp:anchor>
        </w:drawing>
      </w:r>
    </w:p>
    <w:p>
      <w:pPr>
        <w:spacing w:after="0" w:line="3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 sales of tubular products and services </w:t>
      </w:r>
      <w:r>
        <w:rPr>
          <w:rFonts w:ascii="Times New Roman" w:cs="Times New Roman" w:eastAsia="Times New Roman" w:hAnsi="Times New Roman"/>
          <w:sz w:val="18"/>
          <w:szCs w:val="18"/>
          <w:color w:val="auto"/>
        </w:rPr>
        <w:t>increased 3% sequentially and increased 6% year on year. Volumes sold increased 3% sequentially while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prices remained stable. In North America higher sales of OCTG in Mexico and in Canada more than compensated for lower sales in the United States. In South America sales increased due to higher sales of OCTG in Brazil and of line pipe in Argentina. In Europe sales increased thanks to higher sales of mechanical products to distributors. In Asia Pacific, Middle East and Africa sales increased as deliveries to Algeria concentrated in this quarter plus a recovery in OCTG sales in Saudi Arabia following destocking more than offset some delayed shipments in the Middle East.</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results from tubular products and services </w:t>
      </w:r>
      <w:r>
        <w:rPr>
          <w:rFonts w:ascii="Times New Roman" w:cs="Times New Roman" w:eastAsia="Times New Roman" w:hAnsi="Times New Roman"/>
          <w:sz w:val="18"/>
          <w:szCs w:val="18"/>
          <w:color w:val="auto"/>
        </w:rPr>
        <w:t>amounted to a gain of $545 million in the first quarter of 2026 compared to a gain of $516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previous quarter and a gain of $514 million in the first quarter of 2025. Tubes operating income in the first quarter of 2026 increased driven by higher volumes with stable margins. Cost of sales remained stable as higher costs from maintenance shutdowns were offset by lower tariffs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t>Others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indicates, for our Others business segment, net sales, operating income and operating income as a percentage of net sales for the periods indicated below:</w:t>
      </w:r>
    </w:p>
    <w:p>
      <w:pPr>
        <w:spacing w:after="0" w:line="160"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100" w:type="dxa"/>
            <w:vAlign w:val="bottom"/>
            <w:tcBorders>
              <w:top w:val="single" w:sz="8" w:color="auto"/>
              <w:bottom w:val="single" w:sz="8" w:color="auto"/>
            </w:tcBorders>
            <w:shd w:val="clear" w:color="auto" w:fill="F2F2F2"/>
          </w:tcPr>
          <w:p>
            <w:pPr>
              <w:spacing w:after="0"/>
              <w:rPr>
                <w:sz w:val="19"/>
                <w:szCs w:val="19"/>
                <w:color w:val="auto"/>
              </w:rPr>
            </w:pPr>
          </w:p>
        </w:tc>
        <w:tc>
          <w:tcPr>
            <w:tcW w:w="1280" w:type="dxa"/>
            <w:vAlign w:val="bottom"/>
            <w:tcBorders>
              <w:top w:val="single" w:sz="8" w:color="auto"/>
              <w:bottom w:val="single" w:sz="8" w:color="auto"/>
            </w:tcBorders>
            <w:shd w:val="clear" w:color="auto" w:fill="F2F2F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1Q 2026</w:t>
            </w:r>
          </w:p>
        </w:tc>
        <w:tc>
          <w:tcPr>
            <w:tcW w:w="22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4Q 2025</w:t>
            </w:r>
          </w:p>
        </w:tc>
        <w:tc>
          <w:tcPr>
            <w:tcW w:w="1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1Q 2025</w:t>
            </w:r>
          </w:p>
        </w:tc>
        <w:tc>
          <w:tcPr>
            <w:tcW w:w="680" w:type="dxa"/>
            <w:vAlign w:val="bottom"/>
            <w:tcBorders>
              <w:top w:val="single" w:sz="8" w:color="auto"/>
              <w:bottom w:val="single" w:sz="8" w:color="auto"/>
            </w:tcBorders>
          </w:tcPr>
          <w:p>
            <w:pPr>
              <w:spacing w:after="0"/>
              <w:rPr>
                <w:sz w:val="19"/>
                <w:szCs w:val="19"/>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Net sales ($ million)</w:t>
            </w:r>
          </w:p>
        </w:tc>
        <w:tc>
          <w:tcPr>
            <w:tcW w:w="100" w:type="dxa"/>
            <w:vAlign w:val="bottom"/>
            <w:shd w:val="clear" w:color="auto" w:fill="F2F2F2"/>
          </w:tcPr>
          <w:p>
            <w:pPr>
              <w:spacing w:after="0"/>
              <w:rPr>
                <w:sz w:val="18"/>
                <w:szCs w:val="18"/>
                <w:color w:val="auto"/>
              </w:rPr>
            </w:pPr>
          </w:p>
        </w:tc>
        <w:tc>
          <w:tcPr>
            <w:tcW w:w="1280" w:type="dxa"/>
            <w:vAlign w:val="bottom"/>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169</w:t>
            </w:r>
          </w:p>
        </w:tc>
        <w:tc>
          <w:tcPr>
            <w:tcW w:w="22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156</w:t>
            </w: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w:t>
            </w:r>
          </w:p>
        </w:tc>
        <w:tc>
          <w:tcPr>
            <w:tcW w:w="18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157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 million)</w:t>
            </w:r>
          </w:p>
        </w:tc>
        <w:tc>
          <w:tcPr>
            <w:tcW w:w="100" w:type="dxa"/>
            <w:vAlign w:val="bottom"/>
            <w:shd w:val="clear" w:color="auto" w:fill="F2F2F2"/>
          </w:tcPr>
          <w:p>
            <w:pPr>
              <w:spacing w:after="0"/>
              <w:rPr>
                <w:sz w:val="18"/>
                <w:szCs w:val="18"/>
                <w:color w:val="auto"/>
              </w:rPr>
            </w:pPr>
          </w:p>
        </w:tc>
        <w:tc>
          <w:tcPr>
            <w:tcW w:w="1280" w:type="dxa"/>
            <w:vAlign w:val="bottom"/>
            <w:shd w:val="clear" w:color="auto" w:fill="F2F2F2"/>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228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w:t>
            </w:r>
          </w:p>
        </w:tc>
        <w:tc>
          <w:tcPr>
            <w:tcW w:w="180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rPr>
              <w:t>36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 (% of sales)</w:t>
            </w:r>
          </w:p>
        </w:tc>
        <w:tc>
          <w:tcPr>
            <w:tcW w:w="100" w:type="dxa"/>
            <w:vAlign w:val="bottom"/>
            <w:shd w:val="clear" w:color="auto" w:fill="F2F2F2"/>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28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24.2%</w:t>
            </w:r>
          </w:p>
        </w:tc>
        <w:tc>
          <w:tcPr>
            <w:tcW w:w="1160" w:type="dxa"/>
            <w:vAlign w:val="bottom"/>
          </w:tcPr>
          <w:p>
            <w:pPr>
              <w:spacing w:after="0"/>
              <w:rPr>
                <w:sz w:val="18"/>
                <w:szCs w:val="18"/>
                <w:color w:val="auto"/>
              </w:rPr>
            </w:pPr>
          </w:p>
        </w:tc>
        <w:tc>
          <w:tcPr>
            <w:tcW w:w="180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23.1%</w:t>
            </w:r>
          </w:p>
        </w:tc>
        <w:tc>
          <w:tcPr>
            <w:tcW w:w="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-273685</wp:posOffset>
            </wp:positionV>
            <wp:extent cx="70294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 cy="274320"/>
                    </a:xfrm>
                    <a:prstGeom prst="rect">
                      <a:avLst/>
                    </a:prstGeom>
                    <a:noFill/>
                  </pic:spPr>
                </pic:pic>
              </a:graphicData>
            </a:graphic>
          </wp:anchor>
        </w:drawing>
      </w:r>
    </w:p>
    <w:p>
      <w:pPr>
        <w:spacing w:after="0" w:line="17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sales of other products and services </w:t>
      </w:r>
      <w:r>
        <w:rPr>
          <w:rFonts w:ascii="Times New Roman" w:cs="Times New Roman" w:eastAsia="Times New Roman" w:hAnsi="Times New Roman"/>
          <w:sz w:val="18"/>
          <w:szCs w:val="18"/>
          <w:color w:val="auto"/>
        </w:rPr>
        <w:t>increased 9% sequentially and increased 8% year on year. Sequentially, sales increased mainly due to higher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oilfield services in Argentina and higher sales of tubes for plumbing and construction applications, partially offset by lower sales of excess energy.</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Selling, general and administrative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or SG&amp;A</w:t>
      </w:r>
      <w:r>
        <w:rPr>
          <w:rFonts w:ascii="Times New Roman" w:cs="Times New Roman" w:eastAsia="Times New Roman" w:hAnsi="Times New Roman"/>
          <w:sz w:val="18"/>
          <w:szCs w:val="18"/>
          <w:color w:val="auto"/>
        </w:rPr>
        <w:t>, amounted to $467 million, or 15.0% of net sales, in the first quarter of 2026, compared to $453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15.1% in the previous quarter and $457 million, 15.6% in the first quarter of 2025. Sequentially, SG&amp;A stayed flat as a percentage of sales.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Financial results </w:t>
      </w:r>
      <w:r>
        <w:rPr>
          <w:rFonts w:ascii="Times New Roman" w:cs="Times New Roman" w:eastAsia="Times New Roman" w:hAnsi="Times New Roman"/>
          <w:sz w:val="18"/>
          <w:szCs w:val="18"/>
          <w:color w:val="auto"/>
        </w:rPr>
        <w:t>amounted to a gain of $50 million in the first quarter of 2026, compared to a gain of $29 million in the previous quarter and a gain of $35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first quarter of 2025. Financial result of the quarter is mainly attributable to a $53 million net finance income from the net return of our portfolio investments.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Equity in earnings of non-consolidated companies </w:t>
      </w:r>
      <w:r>
        <w:rPr>
          <w:rFonts w:ascii="Times New Roman" w:cs="Times New Roman" w:eastAsia="Times New Roman" w:hAnsi="Times New Roman"/>
          <w:sz w:val="18"/>
          <w:szCs w:val="18"/>
          <w:color w:val="auto"/>
        </w:rPr>
        <w:t>generated a gain of $33 million in the first quarter of 2026, compared to a gain of $20 million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 quarter and a gain of $14 million in the first quarter of 2025. These results are mainly derived from our participation in Ternium (NYSE:TX) and Usiminas.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Income tax charge </w:t>
      </w:r>
      <w:r>
        <w:rPr>
          <w:rFonts w:ascii="Times New Roman" w:cs="Times New Roman" w:eastAsia="Times New Roman" w:hAnsi="Times New Roman"/>
          <w:sz w:val="18"/>
          <w:szCs w:val="18"/>
          <w:color w:val="auto"/>
        </w:rPr>
        <w:t>amounted to $103 million in the first quarter of 2026, compared to $142 million in the previous quarter and $81 million in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2025. Income tax of the quarter declined mainly due to the positive effect from foreign exchange rate movements and inflation adjustment, mainly in Argentina.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1717040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09900"/>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t>Cash Flow and Liquidity of 2026 First Quarter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generated by operating activities during the first quarter of 2026 was $618 million, compared to $787 million in the previous quarter and $821 million in the first quarter of 2025. Cash generated by operating activities during the first quarter of 2026 is net of a working capital increase of $84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capital expenditures of $114 million, our free cash flow amounted to $503 million during the quarter. Following share buybacks of $90 million in the quarter, our net cash position amounted to $3.8 billion at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9900"/>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Tenaris will hold a conference call to discuss the above reported results, on May 7, 2026, at 08:00 a.m. (Eastern Time). Following a brief summary, the conference call will be opened to questions.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listen to the conference please join through one of the following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ir.tenaris.com/events-and-presentations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https://edge.media-server.com/mmc/p/e5dnev3v</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wish to participate in the Q&amp;A session please register at the following link: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https://register-conf.media-server.com/register/BIc16f0602328e4ea7b7be9ef6cf51694c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Please connect 10 minutes before the scheduled start time.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replay of the conference call will also be available on our webpage at: ir.tenaris.com/events-and-presentations</w:t>
      </w:r>
    </w:p>
    <w:p>
      <w:pPr>
        <w:spacing w:after="0" w:line="200" w:lineRule="exact"/>
        <w:rPr>
          <w:sz w:val="20"/>
          <w:szCs w:val="20"/>
          <w:color w:val="auto"/>
        </w:rPr>
      </w:pPr>
    </w:p>
    <w:p>
      <w:pPr>
        <w:spacing w:after="0" w:line="2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statements contained in this press release are “forward-looking statements”. Forward-looking statements are based on management’s current views and assumptions and involve known and unknown risks that could cause actual results, performance or events to differ materially from those expressed or implied by those statements. These risks include but are not limited to risks arising from uncertainties as to future oil and gas prices and their impact on investment programs by oil and gas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349885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009900"/>
              </w:rPr>
              <w:t>Consolidated Condensed Interim Income Statement</w:t>
            </w:r>
          </w:p>
        </w:tc>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of U.S. dollars)</w:t>
            </w:r>
          </w:p>
        </w:tc>
        <w:tc>
          <w:tcPr>
            <w:tcW w:w="32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Three-month period ended March 31,</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1580" w:type="dxa"/>
            <w:vAlign w:val="bottom"/>
            <w:tcBorders>
              <w:bottom w:val="single" w:sz="8" w:color="auto"/>
            </w:tcBorders>
            <w:shd w:val="clear" w:color="auto" w:fill="F2F2F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sales</w:t>
            </w:r>
          </w:p>
        </w:tc>
        <w:tc>
          <w:tcPr>
            <w:tcW w:w="2180" w:type="dxa"/>
            <w:vAlign w:val="bottom"/>
            <w:gridSpan w:val="2"/>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2,922,212</w:t>
            </w:r>
          </w:p>
        </w:tc>
        <w:tc>
          <w:tcPr>
            <w:tcW w:w="0" w:type="dxa"/>
            <w:vAlign w:val="bottom"/>
          </w:tcPr>
          <w:p>
            <w:pPr>
              <w:spacing w:after="0"/>
              <w:rPr>
                <w:sz w:val="1"/>
                <w:szCs w:val="1"/>
                <w:color w:val="auto"/>
              </w:rPr>
            </w:pPr>
          </w:p>
        </w:tc>
      </w:tr>
      <w:tr>
        <w:trPr>
          <w:trHeight w:val="216"/>
        </w:trPr>
        <w:tc>
          <w:tcPr>
            <w:tcW w:w="8000" w:type="dxa"/>
            <w:vAlign w:val="bottom"/>
            <w:vMerge w:val="continue"/>
          </w:tcPr>
          <w:p>
            <w:pPr>
              <w:spacing w:after="0"/>
              <w:rPr>
                <w:sz w:val="18"/>
                <w:szCs w:val="18"/>
                <w:color w:val="auto"/>
              </w:rPr>
            </w:pP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3,100,458</w:t>
            </w:r>
          </w:p>
        </w:tc>
        <w:tc>
          <w:tcPr>
            <w:tcW w:w="6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(2,050,323)</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(1,920,855)</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Gross profit</w:t>
            </w:r>
          </w:p>
        </w:tc>
        <w:tc>
          <w:tcPr>
            <w:tcW w:w="1580" w:type="dxa"/>
            <w:vAlign w:val="bottom"/>
            <w:shd w:val="clear" w:color="auto" w:fill="F2F2F2"/>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1,050,135</w:t>
            </w:r>
          </w:p>
        </w:tc>
        <w:tc>
          <w:tcPr>
            <w:tcW w:w="60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1,001,357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(466,591)</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(457,065)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6,429</w:t>
            </w:r>
          </w:p>
        </w:tc>
        <w:tc>
          <w:tcPr>
            <w:tcW w:w="6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11,788</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(6,109)</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1580" w:type="dxa"/>
            <w:vAlign w:val="bottom"/>
            <w:shd w:val="clear" w:color="auto" w:fill="F2F2F2"/>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583,864</w:t>
            </w:r>
          </w:p>
        </w:tc>
        <w:tc>
          <w:tcPr>
            <w:tcW w:w="60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549,913</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64,769</w:t>
            </w:r>
          </w:p>
        </w:tc>
        <w:tc>
          <w:tcPr>
            <w:tcW w:w="6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(11,664)</w:t>
            </w: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(11,745)</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financial results, net</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(2,706)</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(31,441)</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Income before equity in earnings of non-consolidated companies and income tax</w:t>
            </w:r>
          </w:p>
        </w:tc>
        <w:tc>
          <w:tcPr>
            <w:tcW w:w="1580" w:type="dxa"/>
            <w:vAlign w:val="bottom"/>
            <w:shd w:val="clear" w:color="auto" w:fill="F2F2F2"/>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634,263</w:t>
            </w:r>
          </w:p>
        </w:tc>
        <w:tc>
          <w:tcPr>
            <w:tcW w:w="60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585,171</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of non-consolidated companies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33,376</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14,035</w:t>
            </w:r>
          </w:p>
        </w:tc>
        <w:tc>
          <w:tcPr>
            <w:tcW w:w="0" w:type="dxa"/>
            <w:vAlign w:val="bottom"/>
          </w:tcPr>
          <w:p>
            <w:pPr>
              <w:spacing w:after="0"/>
              <w:rPr>
                <w:sz w:val="1"/>
                <w:szCs w:val="1"/>
                <w:color w:val="auto"/>
              </w:rPr>
            </w:pPr>
          </w:p>
        </w:tc>
      </w:tr>
      <w:tr>
        <w:trPr>
          <w:trHeight w:val="191"/>
        </w:trPr>
        <w:tc>
          <w:tcPr>
            <w:tcW w:w="800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580" w:type="dxa"/>
            <w:vAlign w:val="bottom"/>
            <w:shd w:val="clear" w:color="auto" w:fill="F2F2F2"/>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667,639</w:t>
            </w:r>
          </w:p>
        </w:tc>
        <w:tc>
          <w:tcPr>
            <w:tcW w:w="60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Times New Roman" w:cs="Times New Roman" w:eastAsia="Times New Roman" w:hAnsi="Times New Roman"/>
                <w:sz w:val="18"/>
                <w:szCs w:val="18"/>
                <w:b w:val="1"/>
                <w:bCs w:val="1"/>
                <w:color w:val="auto"/>
              </w:rPr>
              <w:t>599,206</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(103,481)</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(81,342)</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for the period</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564,158</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517,864</w:t>
            </w:r>
          </w:p>
        </w:tc>
        <w:tc>
          <w:tcPr>
            <w:tcW w:w="0" w:type="dxa"/>
            <w:vAlign w:val="bottom"/>
          </w:tcPr>
          <w:p>
            <w:pPr>
              <w:spacing w:after="0"/>
              <w:rPr>
                <w:sz w:val="1"/>
                <w:szCs w:val="1"/>
                <w:color w:val="auto"/>
              </w:rPr>
            </w:pPr>
          </w:p>
        </w:tc>
      </w:tr>
      <w:tr>
        <w:trPr>
          <w:trHeight w:val="407"/>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Attributable to:</w:t>
            </w:r>
          </w:p>
        </w:tc>
        <w:tc>
          <w:tcPr>
            <w:tcW w:w="1580" w:type="dxa"/>
            <w:vAlign w:val="bottom"/>
            <w:shd w:val="clear" w:color="auto" w:fill="F2F2F2"/>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540,701</w:t>
            </w:r>
          </w:p>
        </w:tc>
        <w:tc>
          <w:tcPr>
            <w:tcW w:w="6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506,931</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23,457</w:t>
            </w:r>
          </w:p>
        </w:tc>
        <w:tc>
          <w:tcPr>
            <w:tcW w:w="6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10,933</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564,158</w:t>
            </w: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517,864</w:t>
            </w:r>
          </w:p>
        </w:tc>
        <w:tc>
          <w:tcPr>
            <w:tcW w:w="0" w:type="dxa"/>
            <w:vAlign w:val="bottom"/>
          </w:tcPr>
          <w:p>
            <w:pPr>
              <w:spacing w:after="0"/>
              <w:rPr>
                <w:sz w:val="1"/>
                <w:szCs w:val="1"/>
                <w:color w:val="auto"/>
              </w:rPr>
            </w:pPr>
          </w:p>
        </w:tc>
      </w:tr>
      <w:tr>
        <w:trPr>
          <w:trHeight w:val="595"/>
        </w:trPr>
        <w:tc>
          <w:tcPr>
            <w:tcW w:w="8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927"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8"/>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9900"/>
              </w:rPr>
              <w:t>Consolidated Condensed Interim Statement of Financial Position</w:t>
            </w:r>
          </w:p>
        </w:tc>
        <w:tc>
          <w:tcPr>
            <w:tcW w:w="26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amounts in thousands of U.S. dollars)</w:t>
            </w:r>
          </w:p>
        </w:tc>
        <w:tc>
          <w:tcPr>
            <w:tcW w:w="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220" w:type="dxa"/>
            <w:vAlign w:val="bottom"/>
            <w:vMerge w:val="restart"/>
          </w:tcPr>
          <w:p>
            <w:pPr>
              <w:ind w:left="820"/>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0" w:type="dxa"/>
            <w:vAlign w:val="bottom"/>
          </w:tcPr>
          <w:p>
            <w:pPr>
              <w:spacing w:after="0"/>
              <w:rPr>
                <w:sz w:val="1"/>
                <w:szCs w:val="1"/>
                <w:color w:val="auto"/>
              </w:rPr>
            </w:pPr>
          </w:p>
        </w:tc>
      </w:tr>
      <w:tr>
        <w:trPr>
          <w:trHeight w:val="229"/>
        </w:trPr>
        <w:tc>
          <w:tcPr>
            <w:tcW w:w="4860" w:type="dxa"/>
            <w:vAlign w:val="bottom"/>
            <w:vMerge w:val="continue"/>
          </w:tcPr>
          <w:p>
            <w:pPr>
              <w:spacing w:after="0"/>
              <w:rPr>
                <w:sz w:val="19"/>
                <w:szCs w:val="19"/>
                <w:color w:val="auto"/>
              </w:rPr>
            </w:pPr>
          </w:p>
        </w:tc>
        <w:tc>
          <w:tcPr>
            <w:tcW w:w="500" w:type="dxa"/>
            <w:vAlign w:val="bottom"/>
            <w:tcBorders>
              <w:bottom w:val="single" w:sz="8" w:color="auto"/>
            </w:tcBorders>
            <w:shd w:val="clear" w:color="auto" w:fill="F2F2F2"/>
          </w:tcPr>
          <w:p>
            <w:pPr>
              <w:spacing w:after="0"/>
              <w:rPr>
                <w:sz w:val="19"/>
                <w:szCs w:val="19"/>
                <w:color w:val="auto"/>
              </w:rPr>
            </w:pPr>
          </w:p>
        </w:tc>
        <w:tc>
          <w:tcPr>
            <w:tcW w:w="2660" w:type="dxa"/>
            <w:vAlign w:val="bottom"/>
            <w:tcBorders>
              <w:bottom w:val="single" w:sz="8" w:color="auto"/>
            </w:tcBorders>
            <w:shd w:val="clear" w:color="auto" w:fill="F2F2F2"/>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At March 31, 2026</w:t>
            </w:r>
          </w:p>
        </w:tc>
        <w:tc>
          <w:tcPr>
            <w:tcW w:w="3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-635</wp:posOffset>
            </wp:positionV>
            <wp:extent cx="2014220" cy="5880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14220" cy="588073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tcPr>
          <w:p>
            <w:pPr>
              <w:spacing w:after="0"/>
              <w:rPr>
                <w:sz w:val="16"/>
                <w:szCs w:val="16"/>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8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6,174,660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1,356,543</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141,896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Investments in non-consolidated companies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1,599,844</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676,953</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830,408</w:t>
            </w:r>
          </w:p>
        </w:tc>
      </w:tr>
      <w:tr>
        <w:trPr>
          <w:trHeight w:val="24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net</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135,715</w:t>
            </w: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16"/>
                <w:szCs w:val="16"/>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3,606,922</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Receivables and prepayments, net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184,740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Current tax assets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340,300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36,141</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2,001,088</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11,966</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2,265,359</w:t>
            </w:r>
          </w:p>
        </w:tc>
      </w:tr>
      <w:tr>
        <w:trPr>
          <w:trHeight w:val="24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1,152,130</w:t>
            </w:r>
          </w:p>
        </w:tc>
      </w:tr>
      <w:tr>
        <w:trPr>
          <w:trHeight w:val="214"/>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80" w:type="dxa"/>
            <w:vAlign w:val="bottom"/>
          </w:tcPr>
          <w:p>
            <w:pPr>
              <w:spacing w:after="0"/>
              <w:rPr>
                <w:sz w:val="18"/>
                <w:szCs w:val="18"/>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58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580" w:type="dxa"/>
            <w:vAlign w:val="bottom"/>
          </w:tcPr>
          <w:p>
            <w:pPr>
              <w:spacing w:after="0"/>
              <w:rPr>
                <w:sz w:val="18"/>
                <w:szCs w:val="18"/>
                <w:color w:val="auto"/>
              </w:rPr>
            </w:pP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58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580" w:type="dxa"/>
            <w:vAlign w:val="bottom"/>
          </w:tcPr>
          <w:p>
            <w:pPr>
              <w:spacing w:after="0"/>
              <w:rPr>
                <w:sz w:val="20"/>
                <w:szCs w:val="20"/>
                <w:color w:val="auto"/>
              </w:rPr>
            </w:pPr>
          </w:p>
        </w:tc>
      </w:tr>
      <w:tr>
        <w:trPr>
          <w:trHeight w:val="221"/>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tcPr>
          <w:p>
            <w:pPr>
              <w:spacing w:after="0"/>
              <w:rPr>
                <w:sz w:val="19"/>
                <w:szCs w:val="19"/>
                <w:color w:val="auto"/>
              </w:rPr>
            </w:pPr>
          </w:p>
        </w:tc>
      </w:tr>
      <w:tr>
        <w:trPr>
          <w:trHeight w:val="220"/>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580" w:type="dxa"/>
            <w:vAlign w:val="bottom"/>
          </w:tcPr>
          <w:p>
            <w:pPr>
              <w:spacing w:after="0"/>
              <w:rPr>
                <w:sz w:val="19"/>
                <w:szCs w:val="19"/>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93,673</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388,649</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316,965</w:t>
            </w:r>
          </w:p>
        </w:tc>
      </w:tr>
      <w:tr>
        <w:trPr>
          <w:trHeight w:val="24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52,156</w:t>
            </w:r>
          </w:p>
        </w:tc>
      </w:tr>
      <w:tr>
        <w:trPr>
          <w:trHeight w:val="191"/>
        </w:trPr>
        <w:tc>
          <w:tcPr>
            <w:tcW w:w="48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tcPr>
          <w:p>
            <w:pPr>
              <w:spacing w:after="0"/>
              <w:rPr>
                <w:sz w:val="16"/>
                <w:szCs w:val="16"/>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331,091</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48,393</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8,950</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Current tax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369,048</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385,417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Provisions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173,047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Customer advances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153,583</w:t>
            </w:r>
          </w:p>
        </w:tc>
      </w:tr>
      <w:tr>
        <w:trPr>
          <w:trHeight w:val="248"/>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845,913</w:t>
            </w:r>
          </w:p>
        </w:tc>
      </w:tr>
    </w:tbl>
    <w:p>
      <w:pPr>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10,916,019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9,598,646</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20,514,665</w:t>
      </w:r>
    </w:p>
    <w:p>
      <w:pPr>
        <w:spacing w:after="0" w:line="243"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17,094,388</w:t>
      </w:r>
    </w:p>
    <w:p>
      <w:pPr>
        <w:spacing w:after="0" w:line="27" w:lineRule="exact"/>
        <w:rPr>
          <w:sz w:val="20"/>
          <w:szCs w:val="20"/>
          <w:color w:val="auto"/>
        </w:rPr>
      </w:pPr>
    </w:p>
    <w:p>
      <w:pPr>
        <w:jc w:val="right"/>
        <w:ind w:right="220"/>
        <w:spacing w:after="0"/>
        <w:rPr>
          <w:sz w:val="20"/>
          <w:szCs w:val="20"/>
          <w:color w:val="auto"/>
        </w:rPr>
      </w:pPr>
      <w:r>
        <w:rPr>
          <w:rFonts w:ascii="Times New Roman" w:cs="Times New Roman" w:eastAsia="Times New Roman" w:hAnsi="Times New Roman"/>
          <w:sz w:val="18"/>
          <w:szCs w:val="18"/>
          <w:color w:val="auto"/>
        </w:rPr>
        <w:t>253,032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17,347,420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7"/>
          <w:szCs w:val="17"/>
          <w:color w:val="auto"/>
        </w:rPr>
        <w:t>851,803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2,315,442</w:t>
      </w:r>
    </w:p>
    <w:p>
      <w:pPr>
        <w:spacing w:after="0" w:line="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3,167,245</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20,514,665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14605</wp:posOffset>
            </wp:positionV>
            <wp:extent cx="10026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026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2"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6,205,082</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1,357,116</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144,557</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1,561,212</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758,085</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834,168</w:t>
      </w:r>
    </w:p>
    <w:p>
      <w:pPr>
        <w:spacing w:after="0" w:line="9" w:lineRule="exact"/>
        <w:rPr>
          <w:sz w:val="20"/>
          <w:szCs w:val="20"/>
          <w:color w:val="auto"/>
        </w:rPr>
      </w:pPr>
    </w:p>
    <w:p>
      <w:pPr>
        <w:ind w:left="140"/>
        <w:spacing w:after="0"/>
        <w:tabs>
          <w:tab w:leader="none" w:pos="1440" w:val="left"/>
        </w:tabs>
        <w:rPr>
          <w:sz w:val="20"/>
          <w:szCs w:val="20"/>
          <w:color w:val="auto"/>
        </w:rPr>
      </w:pPr>
      <w:r>
        <w:rPr>
          <w:rFonts w:ascii="Times New Roman" w:cs="Times New Roman" w:eastAsia="Times New Roman" w:hAnsi="Times New Roman"/>
          <w:sz w:val="18"/>
          <w:szCs w:val="18"/>
          <w:color w:val="auto"/>
        </w:rPr>
        <w:t>139,211</w:t>
      </w:r>
      <w:r>
        <w:rPr>
          <w:sz w:val="20"/>
          <w:szCs w:val="20"/>
          <w:color w:val="auto"/>
        </w:rPr>
        <w:tab/>
      </w:r>
      <w:r>
        <w:rPr>
          <w:rFonts w:ascii="Times New Roman" w:cs="Times New Roman" w:eastAsia="Times New Roman" w:hAnsi="Times New Roman"/>
          <w:sz w:val="18"/>
          <w:szCs w:val="18"/>
          <w:color w:val="auto"/>
        </w:rPr>
        <w:t>10,999,431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9861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14"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3,602,058</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268,798</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364,640</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35,264</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1,920,840</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1,875</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2,306,760</w:t>
      </w:r>
    </w:p>
    <w:p>
      <w:pPr>
        <w:spacing w:after="0" w:line="9" w:lineRule="exact"/>
        <w:rPr>
          <w:sz w:val="20"/>
          <w:szCs w:val="20"/>
          <w:color w:val="auto"/>
        </w:rPr>
      </w:pPr>
    </w:p>
    <w:p>
      <w:pPr>
        <w:ind w:left="140"/>
        <w:spacing w:after="0"/>
        <w:tabs>
          <w:tab w:leader="none" w:pos="1540" w:val="left"/>
        </w:tabs>
        <w:rPr>
          <w:sz w:val="20"/>
          <w:szCs w:val="20"/>
          <w:color w:val="auto"/>
        </w:rPr>
      </w:pPr>
      <w:r>
        <w:rPr>
          <w:rFonts w:ascii="Times New Roman" w:cs="Times New Roman" w:eastAsia="Times New Roman" w:hAnsi="Times New Roman"/>
          <w:sz w:val="18"/>
          <w:szCs w:val="18"/>
          <w:color w:val="auto"/>
        </w:rPr>
        <w:t>572,647</w:t>
      </w:r>
      <w:r>
        <w:rPr>
          <w:sz w:val="20"/>
          <w:szCs w:val="20"/>
          <w:color w:val="auto"/>
        </w:rPr>
        <w:tab/>
      </w:r>
      <w:r>
        <w:rPr>
          <w:rFonts w:ascii="Times New Roman" w:cs="Times New Roman" w:eastAsia="Times New Roman" w:hAnsi="Times New Roman"/>
          <w:sz w:val="18"/>
          <w:szCs w:val="18"/>
          <w:color w:val="auto"/>
        </w:rPr>
        <w:t>9,072,882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9861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20,072,313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19685</wp:posOffset>
            </wp:positionV>
            <wp:extent cx="9861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16,599,191</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229,877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16,829,068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14605</wp:posOffset>
            </wp:positionV>
            <wp:extent cx="9861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368</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94,903</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207</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442,248</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310,707</w:t>
      </w:r>
    </w:p>
    <w:p>
      <w:pPr>
        <w:spacing w:after="0" w:line="9" w:lineRule="exact"/>
        <w:rPr>
          <w:sz w:val="20"/>
          <w:szCs w:val="20"/>
          <w:color w:val="auto"/>
        </w:rPr>
      </w:pPr>
    </w:p>
    <w:p>
      <w:pPr>
        <w:ind w:left="220"/>
        <w:spacing w:after="0"/>
        <w:tabs>
          <w:tab w:leader="none" w:pos="1660" w:val="left"/>
        </w:tabs>
        <w:rPr>
          <w:sz w:val="20"/>
          <w:szCs w:val="20"/>
          <w:color w:val="auto"/>
        </w:rPr>
      </w:pPr>
      <w:r>
        <w:rPr>
          <w:rFonts w:ascii="Times New Roman" w:cs="Times New Roman" w:eastAsia="Times New Roman" w:hAnsi="Times New Roman"/>
          <w:sz w:val="18"/>
          <w:szCs w:val="18"/>
          <w:color w:val="auto"/>
        </w:rPr>
        <w:t>48,418</w:t>
      </w:r>
      <w:r>
        <w:rPr>
          <w:sz w:val="20"/>
          <w:szCs w:val="20"/>
          <w:color w:val="auto"/>
        </w:rPr>
        <w:tab/>
      </w:r>
      <w:r>
        <w:rPr>
          <w:rFonts w:ascii="Times New Roman" w:cs="Times New Roman" w:eastAsia="Times New Roman" w:hAnsi="Times New Roman"/>
          <w:sz w:val="18"/>
          <w:szCs w:val="18"/>
          <w:color w:val="auto"/>
        </w:rPr>
        <w:t>896,851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986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14"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305,354</w:t>
      </w:r>
    </w:p>
    <w:p>
      <w:pPr>
        <w:spacing w:after="0" w:line="2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48,346</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14,123</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386,586</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377,088</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173,152</w:t>
      </w:r>
    </w:p>
    <w:p>
      <w:pPr>
        <w:spacing w:after="0" w:line="9"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8"/>
          <w:szCs w:val="18"/>
          <w:color w:val="auto"/>
        </w:rPr>
        <w:t>168,832</w:t>
      </w:r>
    </w:p>
    <w:p>
      <w:pPr>
        <w:spacing w:after="0" w:line="9" w:lineRule="exact"/>
        <w:rPr>
          <w:sz w:val="20"/>
          <w:szCs w:val="20"/>
          <w:color w:val="auto"/>
        </w:rPr>
      </w:pPr>
    </w:p>
    <w:p>
      <w:pPr>
        <w:ind w:left="140"/>
        <w:spacing w:after="0"/>
        <w:tabs>
          <w:tab w:leader="none" w:pos="1540" w:val="left"/>
        </w:tabs>
        <w:rPr>
          <w:sz w:val="20"/>
          <w:szCs w:val="20"/>
          <w:color w:val="auto"/>
        </w:rPr>
      </w:pPr>
      <w:r>
        <w:rPr>
          <w:rFonts w:ascii="Times New Roman" w:cs="Times New Roman" w:eastAsia="Times New Roman" w:hAnsi="Times New Roman"/>
          <w:sz w:val="18"/>
          <w:szCs w:val="18"/>
          <w:color w:val="auto"/>
        </w:rPr>
        <w:t>872,913</w:t>
      </w:r>
      <w:r>
        <w:rPr>
          <w:sz w:val="20"/>
          <w:szCs w:val="20"/>
          <w:color w:val="auto"/>
        </w:rPr>
        <w:tab/>
      </w:r>
      <w:r>
        <w:rPr>
          <w:rFonts w:ascii="Times New Roman" w:cs="Times New Roman" w:eastAsia="Times New Roman" w:hAnsi="Times New Roman"/>
          <w:sz w:val="18"/>
          <w:szCs w:val="18"/>
          <w:color w:val="auto"/>
        </w:rPr>
        <w:t>2,346,394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9861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3,243,245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19685</wp:posOffset>
            </wp:positionV>
            <wp:extent cx="9861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1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20,072,313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14605</wp:posOffset>
            </wp:positionV>
            <wp:extent cx="986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ectPr>
          <w:pgSz w:w="11900" w:h="16838" w:orient="portrait"/>
          <w:cols w:equalWidth="0" w:num="3">
            <w:col w:w="6440" w:space="660"/>
            <w:col w:w="1040" w:space="720"/>
            <w:col w:w="2380"/>
          </w:cols>
          <w:pgMar w:left="320" w:top="927"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9900"/>
              </w:rPr>
              <w:t>Consolidated Condensed Interim Statement of Cash Flows</w:t>
            </w:r>
          </w:p>
        </w:tc>
        <w:tc>
          <w:tcPr>
            <w:tcW w:w="1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amounts in thousands of U.S. dollars)</w:t>
            </w:r>
          </w:p>
        </w:tc>
        <w:tc>
          <w:tcPr>
            <w:tcW w:w="3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Three-month period ended March 31,</w:t>
            </w:r>
          </w:p>
        </w:tc>
        <w:tc>
          <w:tcPr>
            <w:tcW w:w="0" w:type="dxa"/>
            <w:vAlign w:val="bottom"/>
          </w:tcPr>
          <w:p>
            <w:pPr>
              <w:spacing w:after="0"/>
              <w:rPr>
                <w:sz w:val="1"/>
                <w:szCs w:val="1"/>
                <w:color w:val="auto"/>
              </w:rPr>
            </w:pPr>
          </w:p>
        </w:tc>
      </w:tr>
      <w:tr>
        <w:trPr>
          <w:trHeight w:val="210"/>
        </w:trPr>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shd w:val="clear" w:color="auto" w:fill="F2F2F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1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vMerge w:val="continue"/>
          </w:tcPr>
          <w:p>
            <w:pPr>
              <w:spacing w:after="0"/>
              <w:rPr>
                <w:sz w:val="18"/>
                <w:szCs w:val="18"/>
                <w:color w:val="auto"/>
              </w:rPr>
            </w:pPr>
          </w:p>
        </w:tc>
        <w:tc>
          <w:tcPr>
            <w:tcW w:w="1580" w:type="dxa"/>
            <w:vAlign w:val="bottom"/>
            <w:shd w:val="clear" w:color="auto" w:fill="F2F2F2"/>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for the period</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564,158</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517,864</w:t>
            </w:r>
          </w:p>
        </w:tc>
        <w:tc>
          <w:tcPr>
            <w:tcW w:w="0" w:type="dxa"/>
            <w:vAlign w:val="bottom"/>
          </w:tcPr>
          <w:p>
            <w:pPr>
              <w:spacing w:after="0"/>
              <w:rPr>
                <w:sz w:val="1"/>
                <w:szCs w:val="1"/>
                <w:color w:val="auto"/>
              </w:rPr>
            </w:pPr>
          </w:p>
        </w:tc>
      </w:tr>
      <w:tr>
        <w:trPr>
          <w:trHeight w:val="198"/>
        </w:trPr>
        <w:tc>
          <w:tcPr>
            <w:tcW w:w="8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Adjustments for:</w:t>
            </w:r>
          </w:p>
        </w:tc>
        <w:tc>
          <w:tcPr>
            <w:tcW w:w="1580" w:type="dxa"/>
            <w:vAlign w:val="bottom"/>
            <w:shd w:val="clear" w:color="auto" w:fill="F2F2F2"/>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151,440</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146,406</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the ongoing litigation related to the acquisition of participation in Usiminas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10,350</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9,877</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accruals less payments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(54,133)</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in earnings of non-consolidated companies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(33,376)</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(14,035)</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accruals less payments, net</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23,066</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(8,423)</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provisions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(6,717)</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(83,757)</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223,817</w:t>
            </w:r>
          </w:p>
        </w:tc>
        <w:tc>
          <w:tcPr>
            <w:tcW w:w="0" w:type="dxa"/>
            <w:vAlign w:val="bottom"/>
          </w:tcPr>
          <w:p>
            <w:pPr>
              <w:spacing w:after="0"/>
              <w:rPr>
                <w:sz w:val="1"/>
                <w:szCs w:val="1"/>
                <w:color w:val="auto"/>
              </w:rPr>
            </w:pPr>
          </w:p>
        </w:tc>
      </w:tr>
      <w:tr>
        <w:trPr>
          <w:trHeight w:val="24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 including net foreign exchange</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(8,565)</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617,645</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821,000</w:t>
            </w:r>
          </w:p>
        </w:tc>
        <w:tc>
          <w:tcPr>
            <w:tcW w:w="0" w:type="dxa"/>
            <w:vAlign w:val="bottom"/>
          </w:tcPr>
          <w:p>
            <w:pPr>
              <w:spacing w:after="0"/>
              <w:rPr>
                <w:sz w:val="1"/>
                <w:szCs w:val="1"/>
                <w:color w:val="auto"/>
              </w:rPr>
            </w:pPr>
          </w:p>
        </w:tc>
      </w:tr>
      <w:tr>
        <w:trPr>
          <w:trHeight w:val="407"/>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580" w:type="dxa"/>
            <w:vAlign w:val="bottom"/>
            <w:shd w:val="clear" w:color="auto" w:fill="F2F2F2"/>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(114,479)</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(173,838)</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advances to suppliers of property, plant and equipment</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5,453</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12,916</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subsidiaries, net of cash acquired</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(4,507)</w:t>
            </w:r>
          </w:p>
        </w:tc>
        <w:tc>
          <w:tcPr>
            <w:tcW w:w="5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to joint ventures</w:t>
            </w:r>
          </w:p>
        </w:tc>
        <w:tc>
          <w:tcPr>
            <w:tcW w:w="1580" w:type="dxa"/>
            <w:vAlign w:val="bottom"/>
            <w:shd w:val="clear" w:color="auto" w:fill="F2F2F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loan by joint ventures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68,788</w:t>
            </w:r>
          </w:p>
        </w:tc>
        <w:tc>
          <w:tcPr>
            <w:tcW w:w="54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disposal of property, plant and equipment and intangible assets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493</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4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investments in securities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78,097</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(225,636)</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33,845</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(387,017)</w:t>
            </w:r>
          </w:p>
        </w:tc>
        <w:tc>
          <w:tcPr>
            <w:tcW w:w="0" w:type="dxa"/>
            <w:vAlign w:val="bottom"/>
          </w:tcPr>
          <w:p>
            <w:pPr>
              <w:spacing w:after="0"/>
              <w:rPr>
                <w:sz w:val="1"/>
                <w:szCs w:val="1"/>
                <w:color w:val="auto"/>
              </w:rPr>
            </w:pPr>
          </w:p>
        </w:tc>
      </w:tr>
      <w:tr>
        <w:trPr>
          <w:trHeight w:val="407"/>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580" w:type="dxa"/>
            <w:vAlign w:val="bottom"/>
            <w:shd w:val="clear" w:color="auto" w:fill="F2F2F2"/>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(89,562)</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(237,188)</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lease liabilities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(15,526)</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248,430</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347,570</w:t>
            </w:r>
          </w:p>
        </w:tc>
        <w:tc>
          <w:tcPr>
            <w:tcW w:w="0" w:type="dxa"/>
            <w:vAlign w:val="bottom"/>
          </w:tcPr>
          <w:p>
            <w:pPr>
              <w:spacing w:after="0"/>
              <w:rPr>
                <w:sz w:val="1"/>
                <w:szCs w:val="1"/>
                <w:color w:val="auto"/>
              </w:rPr>
            </w:pPr>
          </w:p>
        </w:tc>
      </w:tr>
      <w:tr>
        <w:trPr>
          <w:trHeight w:val="24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 of borrowings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(221,802)</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(429,126)</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(78,460)</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(333,399)</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20" w:type="dxa"/>
            <w:vAlign w:val="bottom"/>
            <w:vMerge w:val="continue"/>
          </w:tcPr>
          <w:p>
            <w:pPr>
              <w:spacing w:after="0"/>
              <w:rPr>
                <w:sz w:val="18"/>
                <w:szCs w:val="18"/>
                <w:color w:val="auto"/>
              </w:rPr>
            </w:pP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573,030</w:t>
            </w:r>
          </w:p>
        </w:tc>
        <w:tc>
          <w:tcPr>
            <w:tcW w:w="540" w:type="dxa"/>
            <w:vAlign w:val="bottom"/>
            <w:tcBorders>
              <w:bottom w:val="single" w:sz="8" w:color="auto"/>
            </w:tcBorders>
            <w:shd w:val="clear" w:color="auto" w:fill="F2F2F2"/>
          </w:tcPr>
          <w:p>
            <w:pPr>
              <w:spacing w:after="0"/>
              <w:rPr>
                <w:sz w:val="18"/>
                <w:szCs w:val="18"/>
                <w:color w:val="auto"/>
              </w:rPr>
            </w:pPr>
          </w:p>
        </w:tc>
        <w:tc>
          <w:tcPr>
            <w:tcW w:w="102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100,584</w:t>
            </w:r>
          </w:p>
        </w:tc>
        <w:tc>
          <w:tcPr>
            <w:tcW w:w="0" w:type="dxa"/>
            <w:vAlign w:val="bottom"/>
          </w:tcPr>
          <w:p>
            <w:pPr>
              <w:spacing w:after="0"/>
              <w:rPr>
                <w:sz w:val="1"/>
                <w:szCs w:val="1"/>
                <w:color w:val="auto"/>
              </w:rPr>
            </w:pPr>
          </w:p>
        </w:tc>
      </w:tr>
      <w:tr>
        <w:trPr>
          <w:trHeight w:val="407"/>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Movement in cash and cash equivalents</w:t>
            </w:r>
          </w:p>
        </w:tc>
        <w:tc>
          <w:tcPr>
            <w:tcW w:w="1580" w:type="dxa"/>
            <w:vAlign w:val="bottom"/>
            <w:shd w:val="clear" w:color="auto" w:fill="F2F2F2"/>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the beginning of the period</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572,444</w:t>
            </w:r>
          </w:p>
        </w:tc>
        <w:tc>
          <w:tcPr>
            <w:tcW w:w="5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660,798</w:t>
            </w:r>
          </w:p>
        </w:tc>
        <w:tc>
          <w:tcPr>
            <w:tcW w:w="0" w:type="dxa"/>
            <w:vAlign w:val="bottom"/>
          </w:tcPr>
          <w:p>
            <w:pPr>
              <w:spacing w:after="0"/>
              <w:rPr>
                <w:sz w:val="1"/>
                <w:szCs w:val="1"/>
                <w:color w:val="auto"/>
              </w:rPr>
            </w:pP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6,630</w:t>
            </w: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0" w:type="dxa"/>
            <w:vAlign w:val="bottom"/>
          </w:tcPr>
          <w:p>
            <w:pPr>
              <w:spacing w:after="0"/>
              <w:rPr>
                <w:sz w:val="1"/>
                <w:szCs w:val="1"/>
                <w:color w:val="auto"/>
              </w:rPr>
            </w:pPr>
          </w:p>
        </w:tc>
      </w:tr>
      <w:tr>
        <w:trPr>
          <w:trHeight w:val="248"/>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573,030</w:t>
            </w: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100,584</w:t>
            </w:r>
          </w:p>
        </w:tc>
        <w:tc>
          <w:tcPr>
            <w:tcW w:w="0" w:type="dxa"/>
            <w:vAlign w:val="bottom"/>
          </w:tcPr>
          <w:p>
            <w:pPr>
              <w:spacing w:after="0"/>
              <w:rPr>
                <w:sz w:val="1"/>
                <w:szCs w:val="1"/>
                <w:color w:val="auto"/>
              </w:rPr>
            </w:pP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1,152,104</w:t>
            </w: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758,952</w:t>
            </w:r>
          </w:p>
        </w:tc>
        <w:tc>
          <w:tcPr>
            <w:tcW w:w="0" w:type="dxa"/>
            <w:vAlign w:val="bottom"/>
          </w:tcPr>
          <w:p>
            <w:pPr>
              <w:spacing w:after="0"/>
              <w:rPr>
                <w:sz w:val="1"/>
                <w:szCs w:val="1"/>
                <w:color w:val="auto"/>
              </w:rPr>
            </w:pPr>
          </w:p>
        </w:tc>
      </w:tr>
      <w:tr>
        <w:trPr>
          <w:trHeight w:val="1026"/>
        </w:trPr>
        <w:tc>
          <w:tcPr>
            <w:tcW w:w="7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240"/>
          </w:cols>
          <w:pgMar w:left="320" w:top="927" w:right="3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009900"/>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t>Exhibit I – Alternative performance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Alternative performance measures should be considered in addition to, not as substitute for or superior to, other measures of financial performance prepared in accordance with IFRS.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9900"/>
        </w:rPr>
        <w:t>EBITDA, Earnings before interest, tax, depreciation and amortization.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EBITDA provides an analysis of the operating results excluding depreciation and amortization and impairments, as they are recurring non-cash variables which can vary substantially from company to company depending on accounting policies and the accounting value of the assets. EBITDA is an approximation to pre-tax operating cash flow and reflects cash generation before working capital variation. EBITDA is widely used by investors when evaluating businesses (multiples valuation), as well as by rating agencies and creditors to evaluate the level of debt, comparing EBITDA with net debt.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calculated in the following manner: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EBITDA = Net income for the period + Income tax charges +/- Equity in Earnings (losses) of non-consolidated companies +/- Financial results + Depreciation and amortization +/- Impairment charges/(reversals).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EBITDA is a non-IFRS alternative performance measure.</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of U.S. dollars)</w:t>
            </w:r>
          </w:p>
        </w:tc>
        <w:tc>
          <w:tcPr>
            <w:tcW w:w="32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for the period</w:t>
            </w:r>
          </w:p>
        </w:tc>
        <w:tc>
          <w:tcPr>
            <w:tcW w:w="1580" w:type="dxa"/>
            <w:vAlign w:val="bottom"/>
            <w:tcBorders>
              <w:bottom w:val="single" w:sz="8" w:color="auto"/>
            </w:tcBorders>
            <w:shd w:val="clear" w:color="auto" w:fill="F2F2F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564,158</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517,864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charge</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103,481</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81,342</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in earnings of non-consolidated companies</w:t>
            </w:r>
          </w:p>
        </w:tc>
        <w:tc>
          <w:tcPr>
            <w:tcW w:w="1580" w:type="dxa"/>
            <w:vAlign w:val="bottom"/>
            <w:shd w:val="clear" w:color="auto" w:fill="F2F2F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(33,376)</w:t>
            </w:r>
          </w:p>
        </w:tc>
        <w:tc>
          <w:tcPr>
            <w:tcW w:w="16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(14,035)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Financial Results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(50,399)</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151,440</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146,406</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735,304</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696,319</w:t>
            </w:r>
          </w:p>
        </w:tc>
        <w:tc>
          <w:tcPr>
            <w:tcW w:w="0" w:type="dxa"/>
            <w:vAlign w:val="bottom"/>
          </w:tcPr>
          <w:p>
            <w:pPr>
              <w:spacing w:after="0"/>
              <w:rPr>
                <w:sz w:val="1"/>
                <w:szCs w:val="1"/>
                <w:color w:val="auto"/>
              </w:rPr>
            </w:pPr>
          </w:p>
        </w:tc>
      </w:tr>
      <w:tr>
        <w:trPr>
          <w:trHeight w:val="817"/>
        </w:trPr>
        <w:tc>
          <w:tcPr>
            <w:tcW w:w="8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09900"/>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t>Free Cash Flow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Free cash flow is a measure of financial performance, calculated as operating cash flow less capital expenditures. FCF represents the cash that a company is able to generate after spending the money required to maintain or expand its asset base.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is calculated in the following manner: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 Net cash (used in) provided by operating activities - 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cash flow is a non-IFRS alternative performance measure.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of U.S. dollars)</w:t>
            </w:r>
          </w:p>
        </w:tc>
        <w:tc>
          <w:tcPr>
            <w:tcW w:w="32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Three-month period ended March 31,</w:t>
            </w:r>
          </w:p>
        </w:tc>
        <w:tc>
          <w:tcPr>
            <w:tcW w:w="0" w:type="dxa"/>
            <w:vAlign w:val="bottom"/>
          </w:tcPr>
          <w:p>
            <w:pPr>
              <w:spacing w:after="0"/>
              <w:rPr>
                <w:sz w:val="1"/>
                <w:szCs w:val="1"/>
                <w:color w:val="auto"/>
              </w:rPr>
            </w:pPr>
          </w:p>
        </w:tc>
      </w:tr>
      <w:tr>
        <w:trPr>
          <w:trHeight w:val="209"/>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80" w:type="dxa"/>
            <w:vAlign w:val="bottom"/>
            <w:tcBorders>
              <w:bottom w:val="single" w:sz="8" w:color="auto"/>
            </w:tcBorders>
            <w:shd w:val="clear" w:color="auto" w:fill="F2F2F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617,645</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821,000</w:t>
            </w: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(114,479)</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(173,838)</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503,166</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647,162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9900"/>
        </w:rPr>
        <w:t>Net Cash / (Debt)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is the net balance of cash and cash equivalents, other current investments and fixed income investments held to maturity less total borrowings. It provides a summary of the financial solvency and liquidity of the company. Net cash / (debt) is widely used by investors and rating agencies and creditors to assess the company’s leverage, financial strength, flexibility and risks.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debt is calculated in the following manner: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 Cash and cash equivalents + Other investments (Current and Non-Current)+/- Derivatives hedging borrowings and investments - Borrowings (Current and Non-Current).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cash/debt is a non-IFRS alternative performance measure.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of U.S. dollars)</w:t>
            </w:r>
          </w:p>
        </w:tc>
        <w:tc>
          <w:tcPr>
            <w:tcW w:w="2200" w:type="dxa"/>
            <w:vAlign w:val="bottom"/>
            <w:tcBorders>
              <w:bottom w:val="single" w:sz="8" w:color="auto"/>
            </w:tcBorders>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80" w:type="dxa"/>
            <w:vAlign w:val="bottom"/>
            <w:tcBorders>
              <w:bottom w:val="single" w:sz="8" w:color="auto"/>
            </w:tcBorders>
            <w:shd w:val="clear" w:color="auto" w:fill="F2F2F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8000" w:type="dxa"/>
            <w:vAlign w:val="bottom"/>
            <w:vMerge w:val="continue"/>
          </w:tcPr>
          <w:p>
            <w:pPr>
              <w:spacing w:after="0"/>
              <w:rPr>
                <w:sz w:val="18"/>
                <w:szCs w:val="18"/>
                <w:color w:val="auto"/>
              </w:rPr>
            </w:pP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1,152,130</w:t>
            </w:r>
          </w:p>
        </w:tc>
        <w:tc>
          <w:tcPr>
            <w:tcW w:w="6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770,208</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investments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2,265,359</w:t>
            </w:r>
          </w:p>
        </w:tc>
        <w:tc>
          <w:tcPr>
            <w:tcW w:w="6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2,581,761</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Non-current investments</w:t>
            </w:r>
          </w:p>
        </w:tc>
        <w:tc>
          <w:tcPr>
            <w:tcW w:w="1580" w:type="dxa"/>
            <w:vAlign w:val="bottom"/>
            <w:shd w:val="clear" w:color="auto" w:fill="F2F2F2"/>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669,940</w:t>
            </w:r>
          </w:p>
        </w:tc>
        <w:tc>
          <w:tcPr>
            <w:tcW w:w="620" w:type="dxa"/>
            <w:vAlign w:val="bottom"/>
          </w:tcPr>
          <w:p>
            <w:pPr>
              <w:spacing w:after="0"/>
              <w:rPr>
                <w:sz w:val="17"/>
                <w:szCs w:val="17"/>
                <w:color w:val="auto"/>
              </w:rPr>
            </w:pPr>
          </w:p>
        </w:tc>
        <w:tc>
          <w:tcPr>
            <w:tcW w:w="104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1,007,444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Derivatives hedging borrowings and investments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665</w:t>
            </w:r>
          </w:p>
        </w:tc>
        <w:tc>
          <w:tcPr>
            <w:tcW w:w="620" w:type="dxa"/>
            <w:vAlign w:val="bottom"/>
          </w:tcPr>
          <w:p>
            <w:pPr>
              <w:spacing w:after="0"/>
              <w:rPr>
                <w:sz w:val="18"/>
                <w:szCs w:val="18"/>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borrowings</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(331,091)</w:t>
            </w:r>
          </w:p>
        </w:tc>
        <w:tc>
          <w:tcPr>
            <w:tcW w:w="6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(345,183)</w:t>
            </w:r>
          </w:p>
        </w:tc>
        <w:tc>
          <w:tcPr>
            <w:tcW w:w="0" w:type="dxa"/>
            <w:vAlign w:val="bottom"/>
          </w:tcPr>
          <w:p>
            <w:pPr>
              <w:spacing w:after="0"/>
              <w:rPr>
                <w:sz w:val="1"/>
                <w:szCs w:val="1"/>
                <w:color w:val="auto"/>
              </w:rPr>
            </w:pPr>
          </w:p>
        </w:tc>
      </w:tr>
      <w:tr>
        <w:trPr>
          <w:trHeight w:val="248"/>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Non-current borrowings</w:t>
            </w:r>
          </w:p>
        </w:tc>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6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 (debt)</w:t>
            </w:r>
          </w:p>
        </w:tc>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3,756,643</w:t>
            </w:r>
          </w:p>
        </w:tc>
        <w:tc>
          <w:tcPr>
            <w:tcW w:w="6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4,006,793</w:t>
            </w:r>
          </w:p>
        </w:tc>
        <w:tc>
          <w:tcPr>
            <w:tcW w:w="0" w:type="dxa"/>
            <w:vAlign w:val="bottom"/>
          </w:tcPr>
          <w:p>
            <w:pPr>
              <w:spacing w:after="0"/>
              <w:rPr>
                <w:sz w:val="1"/>
                <w:szCs w:val="1"/>
                <w:color w:val="auto"/>
              </w:rPr>
            </w:pPr>
          </w:p>
        </w:tc>
      </w:tr>
      <w:tr>
        <w:trPr>
          <w:trHeight w:val="1033"/>
        </w:trPr>
        <w:tc>
          <w:tcPr>
            <w:tcW w:w="80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3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09900"/>
        </w:rPr>
        <w:drawing>
          <wp:anchor simplePos="0" relativeHeight="251657728" behindDoc="1" locked="0" layoutInCell="0" allowOverlap="1">
            <wp:simplePos x="0" y="0"/>
            <wp:positionH relativeFrom="page">
              <wp:posOffset>208280</wp:posOffset>
            </wp:positionH>
            <wp:positionV relativeFrom="page">
              <wp:posOffset>157480</wp:posOffset>
            </wp:positionV>
            <wp:extent cx="222885"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222885" cy="205740"/>
                    </a:xfrm>
                    <a:prstGeom prst="rect">
                      <a:avLst/>
                    </a:prstGeom>
                    <a:noFill/>
                  </pic:spPr>
                </pic:pic>
              </a:graphicData>
            </a:graphic>
          </wp:anchor>
        </w:drawing>
        <w:t>Operating working capital days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Operating working capital is the difference between the main operating components of current assets and current liabilities. Operating working capital is a measure of a company’s operational efficiency, and short-term financial health.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working capital days is calculated in the following manner: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working capital days = [(Inventories + Trade receivables – Trade payables – Customer advances) / Annualized quarterly sales ] x 365.</w:t>
      </w:r>
    </w:p>
    <w:p>
      <w:pPr>
        <w:sectPr>
          <w:pgSz w:w="11900" w:h="16838" w:orient="portrait"/>
          <w:cols w:equalWidth="0" w:num="1">
            <w:col w:w="11240"/>
          </w:cols>
          <w:pgMar w:left="320" w:top="93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working capital days is a non-IFRS alternative performance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of U.S. dollars)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advances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payables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working capital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Annualized quarterly sales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working capital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1077595</wp:posOffset>
            </wp:positionV>
            <wp:extent cx="713232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At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80" w:type="dxa"/>
            <w:vAlign w:val="bottom"/>
            <w:tcBorders>
              <w:top w:val="single" w:sz="8" w:color="auto"/>
              <w:bottom w:val="single" w:sz="8" w:color="auto"/>
            </w:tcBorders>
            <w:shd w:val="clear" w:color="auto" w:fill="F2F2F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3,606,922</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3,519,237</w:t>
            </w:r>
          </w:p>
        </w:tc>
      </w:tr>
      <w:tr>
        <w:trPr>
          <w:trHeight w:val="216"/>
        </w:trPr>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2,001,088</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1,842,313</w:t>
            </w:r>
          </w:p>
        </w:tc>
      </w:tr>
      <w:tr>
        <w:trPr>
          <w:trHeight w:val="211"/>
        </w:trPr>
        <w:tc>
          <w:tcPr>
            <w:tcW w:w="1580" w:type="dxa"/>
            <w:vAlign w:val="bottom"/>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(153,583)</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(228,086)</w:t>
            </w:r>
          </w:p>
        </w:tc>
      </w:tr>
      <w:tr>
        <w:trPr>
          <w:trHeight w:val="234"/>
        </w:trPr>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color w:val="auto"/>
              </w:rPr>
              <w:t>(845,913)</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(831,716)</w:t>
            </w:r>
          </w:p>
        </w:tc>
      </w:tr>
      <w:tr>
        <w:trPr>
          <w:trHeight w:val="210"/>
        </w:trPr>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4,608,514</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4,301,748</w:t>
            </w:r>
          </w:p>
        </w:tc>
      </w:tr>
      <w:tr>
        <w:trPr>
          <w:trHeight w:val="209"/>
        </w:trPr>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12,401,832</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11,688,848</w:t>
            </w:r>
          </w:p>
        </w:tc>
      </w:tr>
      <w:tr>
        <w:trPr>
          <w:trHeight w:val="209"/>
        </w:trPr>
        <w:tc>
          <w:tcPr>
            <w:tcW w:w="1580" w:type="dxa"/>
            <w:vAlign w:val="bottom"/>
            <w:tcBorders>
              <w:bottom w:val="single" w:sz="8" w:color="auto"/>
            </w:tcBorders>
            <w:shd w:val="clear" w:color="auto" w:fill="F2F2F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136</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w:t>
            </w:r>
          </w:p>
        </w:tc>
      </w:tr>
    </w:tbl>
    <w:p>
      <w:pPr>
        <w:spacing w:after="0" w:line="1" w:lineRule="exact"/>
        <w:rPr>
          <w:sz w:val="20"/>
          <w:szCs w:val="20"/>
          <w:color w:val="auto"/>
        </w:rPr>
      </w:pPr>
    </w:p>
    <w:sectPr>
      <w:pgSz w:w="11900" w:h="16838" w:orient="portrait"/>
      <w:cols w:equalWidth="0" w:num="2">
        <w:col w:w="7280" w:space="720"/>
        <w:col w:w="3240"/>
      </w:cols>
      <w:pgMar w:left="320" w:top="93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2026-05-07T14:45:59Z</dcterms:created>
  <dcterms:modified xsi:type="dcterms:W3CDTF">2026-05-07T14:45:59Z</dcterms:modified>
</cp:coreProperties>
</file>